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0"/>
          <w:bCs w:val="0"/>
          <w:sz w:val="24"/>
          <w:szCs w:val="24"/>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UNIVERSITATEA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0"/>
          <w:bCs w:val="0"/>
          <w:sz w:val="24"/>
          <w:szCs w:val="24"/>
          <w:vertAlign w:val="baseline"/>
        </w:rPr>
      </w:pPr>
      <w:r w:rsidDel="00000000" w:rsidR="00000000" w:rsidRPr="00000000">
        <w:rPr>
          <w:rFonts w:ascii="Times New Roman" w:cs="Times New Roman" w:eastAsia="Times New Roman" w:hAnsi="Times New Roman"/>
          <w:b w:val="1"/>
          <w:bCs w:val="1"/>
          <w:vertAlign w:val="baseline"/>
          <w:rtl w:val="0"/>
        </w:rPr>
        <w:t xml:space="preserve">FACULTATEA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de Științe Politice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DEPARTAMENTUL </w:t>
      </w:r>
      <w:r w:rsidDel="00000000" w:rsidR="00000000" w:rsidRPr="00000000">
        <w:rPr>
          <w:rFonts w:ascii="Times New Roman" w:cs="Times New Roman" w:eastAsia="Times New Roman" w:hAnsi="Times New Roman"/>
          <w:i w:val="1"/>
          <w:iCs w:val="1"/>
          <w:sz w:val="24"/>
          <w:szCs w:val="24"/>
          <w:u w:val="single"/>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4">
      <w:pPr>
        <w:ind w:right="-567"/>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DOMENIUL DE STUDII </w:t>
      </w:r>
      <w:r w:rsidDel="00000000" w:rsidR="00000000" w:rsidRPr="00000000">
        <w:rPr>
          <w:rFonts w:ascii="Times New Roman" w:cs="Times New Roman" w:eastAsia="Times New Roman" w:hAnsi="Times New Roman"/>
          <w:i w:val="1"/>
          <w:iCs w:val="1"/>
          <w:sz w:val="24"/>
          <w:szCs w:val="24"/>
          <w:u w:val="single"/>
          <w:vertAlign w:val="baseline"/>
          <w:rtl w:val="0"/>
        </w:rPr>
        <w:t xml:space="preserve">Științe Politice/Relații Internaționale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vertAlign w:val="baseline"/>
        </w:rPr>
      </w:pPr>
      <w:r w:rsidDel="00000000" w:rsidR="00000000" w:rsidRPr="00000000">
        <w:rPr>
          <w:rFonts w:ascii="Times New Roman" w:cs="Times New Roman" w:eastAsia="Times New Roman" w:hAnsi="Times New Roman"/>
          <w:b w:val="1"/>
          <w:bCs w:val="1"/>
          <w:vertAlign w:val="baseline"/>
          <w:rtl w:val="0"/>
        </w:rPr>
        <w:t xml:space="preserve">PROGRAMUL DE STUDII</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sz w:val="24"/>
          <w:szCs w:val="24"/>
          <w:u w:val="single"/>
          <w:vertAlign w:val="baseline"/>
          <w:rtl w:val="0"/>
        </w:rPr>
        <w:t xml:space="preserve">(Specializarea): SP, RISE</w:t>
      </w:r>
      <w:r w:rsidDel="00000000" w:rsidR="00000000" w:rsidRPr="00000000">
        <w:rPr>
          <w:rtl w:val="0"/>
        </w:rPr>
      </w:r>
    </w:p>
    <w:p w:rsidR="00000000" w:rsidDel="00000000" w:rsidP="00000000" w:rsidRDefault="00000000" w:rsidRPr="00000000" w14:paraId="00000006">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7">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spacing w:line="360" w:lineRule="auto"/>
        <w:jc w:val="center"/>
        <w:rPr>
          <w:rFonts w:ascii="Times New Roman" w:cs="Times New Roman" w:eastAsia="Times New Roman" w:hAnsi="Times New Roman"/>
          <w:b w:val="0"/>
          <w:bCs w:val="0"/>
          <w:sz w:val="32"/>
          <w:szCs w:val="32"/>
          <w:vertAlign w:val="baseline"/>
        </w:rPr>
      </w:pPr>
      <w:r w:rsidDel="00000000" w:rsidR="00000000" w:rsidRPr="00000000">
        <w:rPr>
          <w:rFonts w:ascii="Times New Roman" w:cs="Times New Roman" w:eastAsia="Times New Roman" w:hAnsi="Times New Roman"/>
          <w:b w:val="1"/>
          <w:bCs w:val="1"/>
          <w:sz w:val="32"/>
          <w:szCs w:val="32"/>
          <w:vertAlign w:val="baseline"/>
          <w:rtl w:val="0"/>
        </w:rPr>
        <w:t xml:space="preserve">FIŞA DISCIPLINEI</w:t>
      </w:r>
      <w:r w:rsidDel="00000000" w:rsidR="00000000" w:rsidRPr="00000000">
        <w:rPr>
          <w:rtl w:val="0"/>
        </w:rPr>
      </w:r>
    </w:p>
    <w:p w:rsidR="00000000" w:rsidDel="00000000" w:rsidP="00000000" w:rsidRDefault="00000000" w:rsidRPr="00000000" w14:paraId="00000009">
      <w:pPr>
        <w:spacing w:line="360" w:lineRule="auto"/>
        <w:jc w:val="center"/>
        <w:rPr>
          <w:rFonts w:ascii="Times New Roman" w:cs="Times New Roman" w:eastAsia="Times New Roman" w:hAnsi="Times New Roman"/>
          <w:b w:val="0"/>
          <w:bCs w:val="0"/>
          <w:sz w:val="32"/>
          <w:szCs w:val="32"/>
          <w:vertAlign w:val="baseline"/>
        </w:rPr>
      </w:pPr>
      <w:r w:rsidDel="00000000" w:rsidR="00000000" w:rsidRPr="00000000">
        <w:rPr>
          <w:rFonts w:ascii="Times New Roman" w:cs="Times New Roman" w:eastAsia="Times New Roman" w:hAnsi="Times New Roman"/>
          <w:b w:val="1"/>
          <w:bCs w:val="1"/>
          <w:sz w:val="32"/>
          <w:szCs w:val="32"/>
          <w:vertAlign w:val="baseline"/>
          <w:rtl w:val="0"/>
        </w:rPr>
        <w:t xml:space="preserve">Elaborarea și implementarea proiectelor</w:t>
      </w:r>
      <w:r w:rsidDel="00000000" w:rsidR="00000000" w:rsidRPr="00000000">
        <w:rPr>
          <w:rtl w:val="0"/>
        </w:rPr>
      </w:r>
    </w:p>
    <w:p w:rsidR="00000000" w:rsidDel="00000000" w:rsidP="00000000" w:rsidRDefault="00000000" w:rsidRPr="00000000" w14:paraId="0000000A">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B">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Statutul disciplinei</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obligatorie</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opţională</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facultativă</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Nivelul de studii</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Licenţă</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Masterat</w:t>
      </w:r>
      <w:r w:rsidDel="00000000" w:rsidR="00000000" w:rsidRPr="00000000">
        <w:rPr>
          <w:rFonts w:ascii="Times New Roman" w:cs="Times New Roman" w:eastAsia="Times New Roman" w:hAnsi="Times New Roman"/>
          <w:vertAlign w:val="baseline"/>
          <w:rtl w:val="0"/>
        </w:rPr>
        <w:t xml:space="preserve">        ☐ </w:t>
      </w:r>
      <w:r w:rsidDel="00000000" w:rsidR="00000000" w:rsidRPr="00000000">
        <w:rPr>
          <w:rFonts w:ascii="Times New Roman" w:cs="Times New Roman" w:eastAsia="Times New Roman" w:hAnsi="Times New Roman"/>
          <w:i w:val="1"/>
          <w:iCs w:val="1"/>
          <w:vertAlign w:val="baseline"/>
          <w:rtl w:val="0"/>
        </w:rPr>
        <w:t xml:space="preserve">Doctorat</w:t>
      </w:r>
      <w:r w:rsidDel="00000000" w:rsidR="00000000" w:rsidRPr="00000000">
        <w:rPr>
          <w:rtl w:val="0"/>
        </w:rPr>
      </w:r>
    </w:p>
    <w:p w:rsidR="00000000" w:rsidDel="00000000" w:rsidP="00000000" w:rsidRDefault="00000000" w:rsidRPr="00000000" w14:paraId="0000000E">
      <w:pPr>
        <w:spacing w:line="360" w:lineRule="auto"/>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Anul de studii</w:t>
      </w:r>
      <w:r w:rsidDel="00000000" w:rsidR="00000000" w:rsidRPr="00000000">
        <w:rPr>
          <w:rFonts w:ascii="Times New Roman" w:cs="Times New Roman" w:eastAsia="Times New Roman" w:hAnsi="Times New Roman"/>
          <w:vertAlign w:val="baseline"/>
          <w:rtl w:val="0"/>
        </w:rPr>
        <w:t xml:space="preserve">: 3</w:t>
      </w:r>
    </w:p>
    <w:p w:rsidR="00000000" w:rsidDel="00000000" w:rsidP="00000000" w:rsidRDefault="00000000" w:rsidRPr="00000000" w14:paraId="00000010">
      <w:pP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Semestrul</w:t>
      </w:r>
      <w:r w:rsidDel="00000000" w:rsidR="00000000" w:rsidRPr="00000000">
        <w:rPr>
          <w:rFonts w:ascii="Times New Roman" w:cs="Times New Roman" w:eastAsia="Times New Roman" w:hAnsi="Times New Roman"/>
          <w:vertAlign w:val="baseline"/>
          <w:rtl w:val="0"/>
        </w:rPr>
        <w:t xml:space="preserve">: I</w:t>
      </w:r>
    </w:p>
    <w:tbl>
      <w:tblPr>
        <w:tblStyle w:val="Table1"/>
        <w:tblpPr w:leftFromText="180" w:rightFromText="180" w:topFromText="0" w:bottomFromText="0" w:vertAnchor="text" w:horzAnchor="text" w:tblpX="0" w:tblpY="113"/>
        <w:tblW w:w="9747.0" w:type="dxa"/>
        <w:jc w:val="left"/>
        <w:tblInd w:w="-108.0" w:type="dxa"/>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bottom w:color="000000" w:space="0" w:sz="0" w:val="nil"/>
              <w:right w:color="000000" w:space="0" w:sz="8" w:val="single"/>
            </w:tcBorders>
            <w:shd w:fill="ffffff" w:val="cle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superscript"/>
              </w:rPr>
              <w:footnoteReference w:customMarkFollows="0" w:id="0"/>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SI=44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SI=50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E/V</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superscript"/>
              </w:rPr>
              <w:footnoteReference w:customMarkFollows="0" w:id="1"/>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6</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superscript"/>
              </w:rPr>
              <w:footnoteReference w:customMarkFollows="0" w:id="2"/>
            </w: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Conf. univ. dr. Arpad Todor</w:t>
      </w:r>
    </w:p>
    <w:p w:rsidR="00000000" w:rsidDel="00000000" w:rsidP="00000000" w:rsidRDefault="00000000" w:rsidRPr="00000000" w14:paraId="00000025">
      <w:pPr>
        <w:spacing w:after="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Dr. Alexandra Diaconescu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7">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tbl>
      <w:tblPr>
        <w:tblStyle w:val="Table2"/>
        <w:tblW w:w="92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9"/>
        <w:gridCol w:w="7479"/>
        <w:tblGridChange w:id="0">
          <w:tblGrid>
            <w:gridCol w:w="1809"/>
            <w:gridCol w:w="7479"/>
          </w:tblGrid>
        </w:tblGridChange>
      </w:tblGrid>
      <w:tr>
        <w:trPr>
          <w:cantSplit w:val="0"/>
          <w:tblHeader w:val="0"/>
        </w:trPr>
        <w:tc>
          <w:tcPr>
            <w:vAlign w:val="top"/>
          </w:tcPr>
          <w:p w:rsidR="00000000" w:rsidDel="00000000" w:rsidP="00000000" w:rsidRDefault="00000000" w:rsidRPr="00000000" w14:paraId="0000002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Obiectivul general al</w:t>
            </w:r>
            <w:r w:rsidDel="00000000" w:rsidR="00000000" w:rsidRPr="00000000">
              <w:rPr>
                <w:rFonts w:ascii="Times New Roman" w:cs="Times New Roman" w:eastAsia="Times New Roman" w:hAnsi="Times New Roman"/>
                <w:vertAlign w:val="baseline"/>
                <w:rtl w:val="0"/>
              </w:rPr>
              <w:t xml:space="preserve"> disciplinei</w:t>
            </w:r>
          </w:p>
        </w:tc>
        <w:tc>
          <w:tcPr>
            <w:vAlign w:val="top"/>
          </w:tcPr>
          <w:p w:rsidR="00000000" w:rsidDel="00000000" w:rsidP="00000000" w:rsidRDefault="00000000" w:rsidRPr="00000000" w14:paraId="0000002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OG Înțelegerea de către studenți a noțiunilor utilizate în domeniul scrierii si implementării de proiecte, a metodelor si tehnicilor utilizate pe parcursul ciclului de implementare a proiectului (din fonduri UE precum FSE, FRE, de cercetare Horizon 2020, PAC, PNRR și din diferite fonduri naționale, EEA), precum și dezvoltare capacităților de aplicare a acestor cunoștințe</w:t>
            </w:r>
          </w:p>
          <w:p w:rsidR="00000000" w:rsidDel="00000000" w:rsidP="00000000" w:rsidRDefault="00000000" w:rsidRPr="00000000" w14:paraId="0000002B">
            <w:pPr>
              <w:spacing w:after="0" w:lineRule="auto"/>
              <w:jc w:val="both"/>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2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Obiective specifice</w:t>
            </w:r>
            <w:r w:rsidDel="00000000" w:rsidR="00000000" w:rsidRPr="00000000">
              <w:rPr>
                <w:rtl w:val="0"/>
              </w:rPr>
            </w:r>
          </w:p>
        </w:tc>
        <w:tc>
          <w:tcPr>
            <w:vAlign w:val="top"/>
          </w:tcPr>
          <w:p w:rsidR="00000000" w:rsidDel="00000000" w:rsidP="00000000" w:rsidRDefault="00000000" w:rsidRPr="00000000" w14:paraId="0000002D">
            <w:pPr>
              <w:spacing w:after="0" w:lineRule="auto"/>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O1: Dobândirea capacității de utilizare a conceptelor fundamentale din domeniul Managementului proiectului;</w:t>
            </w:r>
          </w:p>
          <w:p w:rsidR="00000000" w:rsidDel="00000000" w:rsidP="00000000" w:rsidRDefault="00000000" w:rsidRPr="00000000" w14:paraId="0000002E">
            <w:pPr>
              <w:spacing w:after="0" w:lineRule="auto"/>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O2: Înțelegerea legăturii dintre domeniul politicilor publice si abordarea lor prin cadrul diferitelor tipuri de proiecte </w:t>
            </w:r>
          </w:p>
          <w:p w:rsidR="00000000" w:rsidDel="00000000" w:rsidP="00000000" w:rsidRDefault="00000000" w:rsidRPr="00000000" w14:paraId="0000002F">
            <w:pPr>
              <w:spacing w:after="0" w:lineRule="auto"/>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O2: Elaborarea și gestionarea proiectelor de cercetare folosind cadre teoretice și metode specifice disciplinei;</w:t>
            </w:r>
          </w:p>
          <w:p w:rsidR="00000000" w:rsidDel="00000000" w:rsidP="00000000" w:rsidRDefault="00000000" w:rsidRPr="00000000" w14:paraId="00000030">
            <w:pPr>
              <w:spacing w:after="0" w:lineRule="auto"/>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O3: Utilizarea regulilor fundamentale pentru înțelegerea și evaluarea unor proiecte de cercetare care folosesc cadre teoretice specifice disciplinei;</w:t>
            </w:r>
          </w:p>
          <w:p w:rsidR="00000000" w:rsidDel="00000000" w:rsidP="00000000" w:rsidRDefault="00000000" w:rsidRPr="00000000" w14:paraId="00000031">
            <w:pPr>
              <w:spacing w:after="0" w:lineRule="auto"/>
              <w:ind w:right="-567"/>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O4. Dezvoltarea de aptitudini cu privire la respectarea eticii si integrității profesionale, cooperarea si comunicarea in cadrul echipei, însușirea si aplicarea principiilor responsabilității sociale a proiectelor derulate.  </w:t>
            </w:r>
          </w:p>
        </w:tc>
      </w:tr>
    </w:tbl>
    <w:p w:rsidR="00000000" w:rsidDel="00000000" w:rsidP="00000000" w:rsidRDefault="00000000" w:rsidRPr="00000000" w14:paraId="00000032">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33">
      <w:pPr>
        <w:spacing w:after="0" w:line="360" w:lineRule="auto"/>
        <w:jc w:val="both"/>
        <w:rPr>
          <w:rFonts w:ascii="Times New Roman" w:cs="Times New Roman" w:eastAsia="Times New Roman" w:hAnsi="Times New Roman"/>
          <w:b w:val="1"/>
          <w:bCs w:val="1"/>
        </w:rPr>
      </w:pPr>
      <w:r w:rsidDel="00000000" w:rsidR="00000000" w:rsidRPr="00000000">
        <w:rPr>
          <w:rtl w:val="0"/>
        </w:rPr>
      </w:r>
    </w:p>
    <w:sdt>
      <w:sdtPr>
        <w:lock w:val="contentLocked"/>
        <w:id w:val="-1766307212"/>
        <w:tag w:val="goog_rdk_0"/>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Elaborarea și implementarea proiectelor a avut loc în urma discutării conţinutului disciplinei şi a cerinţelor practice cu specialişti şi practicieni din domeniu, dar şi pornind de la competenţele profesionale cerute de piaţa muncii.</w:t>
                </w:r>
              </w:p>
              <w:p w:rsidR="00000000" w:rsidDel="00000000" w:rsidP="00000000" w:rsidRDefault="00000000" w:rsidRPr="00000000" w14:paraId="00000035">
                <w:pPr>
                  <w:widowControl w:val="0"/>
                  <w:spacing w:after="0" w:line="240" w:lineRule="auto"/>
                  <w:rPr>
                    <w:rFonts w:ascii="Times New Roman" w:cs="Times New Roman" w:eastAsia="Times New Roman" w:hAnsi="Times New Roman"/>
                    <w:b w:val="1"/>
                    <w:bCs w:val="1"/>
                  </w:rPr>
                </w:pPr>
                <w:r w:rsidDel="00000000" w:rsidR="00000000" w:rsidRPr="00000000">
                  <w:rPr>
                    <w:rtl w:val="0"/>
                  </w:rPr>
                </w:r>
              </w:p>
            </w:tc>
          </w:tr>
        </w:tbl>
      </w:sdtContent>
    </w:sdt>
    <w:p w:rsidR="00000000" w:rsidDel="00000000" w:rsidP="00000000" w:rsidRDefault="00000000" w:rsidRPr="00000000" w14:paraId="00000036">
      <w:pPr>
        <w:spacing w:after="0" w:line="360" w:lineRule="auto"/>
        <w:jc w:val="both"/>
        <w:rPr>
          <w:rFonts w:ascii="Times New Roman" w:cs="Times New Roman" w:eastAsia="Times New Roman" w:hAnsi="Times New Roman"/>
          <w:b w:val="1"/>
          <w:bCs w:val="1"/>
        </w:rPr>
      </w:pPr>
      <w:r w:rsidDel="00000000" w:rsidR="00000000" w:rsidRPr="00000000">
        <w:rPr>
          <w:rtl w:val="0"/>
        </w:rPr>
      </w:r>
    </w:p>
    <w:sdt>
      <w:sdtPr>
        <w:lock w:val="contentLocked"/>
        <w:id w:val="-781709669"/>
        <w:tag w:val="goog_rdk_1"/>
      </w:sdtPr>
      <w:sdtContent>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3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3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Studentul/Absolventul recunoaște, analizează și explică procedurile legate de aplicarea politicilor guvernamentale la toate nivelurile administrației publice.</w:t>
                </w:r>
              </w:p>
              <w:p w:rsidR="00000000" w:rsidDel="00000000" w:rsidP="00000000" w:rsidRDefault="00000000" w:rsidRPr="00000000" w14:paraId="0000003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 Studentul/Absolventul recunoaște, analizează și explică procedurile legate de aplicarea politicilor guvernamentale la toate nivelurile administrației publice.</w:t>
                </w:r>
              </w:p>
              <w:p w:rsidR="00000000" w:rsidDel="00000000" w:rsidP="00000000" w:rsidRDefault="00000000" w:rsidRPr="00000000" w14:paraId="0000003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3C">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3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3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A5: Studentul/Absolventul dezvoltă și demonstrează cunoașterea aprofundată și înțelegerea complexă a unui anumit domeniu de cercetare, inclusiv a cercetării responsabile, a principiilor etice și de integritate științifică în materie de cercetare, respectul vieții private și a cerințelor RGPD, legate de activitățile de cercetare dintr-o anumită disciplină.</w:t>
                </w:r>
              </w:p>
              <w:p w:rsidR="00000000" w:rsidDel="00000000" w:rsidP="00000000" w:rsidRDefault="00000000" w:rsidRPr="00000000" w14:paraId="0000004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1">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spacing w:after="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4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R5: Studentul/Absolventul lucrează cu încredere în cadrul unui grup, fiecare făcându-și partea lui în serviciul întregului.</w:t>
                </w:r>
                <w:r w:rsidDel="00000000" w:rsidR="00000000" w:rsidRPr="00000000">
                  <w:rPr>
                    <w:rtl w:val="0"/>
                  </w:rPr>
                </w:r>
              </w:p>
            </w:tc>
          </w:tr>
        </w:tbl>
      </w:sdtContent>
    </w:sdt>
    <w:p w:rsidR="00000000" w:rsidDel="00000000" w:rsidP="00000000" w:rsidRDefault="00000000" w:rsidRPr="00000000" w14:paraId="00000047">
      <w:pP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4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Nu</w:t>
      </w:r>
    </w:p>
    <w:p w:rsidR="00000000" w:rsidDel="00000000" w:rsidP="00000000" w:rsidRDefault="00000000" w:rsidRPr="00000000" w14:paraId="0000004B">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tbl>
      <w:tblPr>
        <w:tblStyle w:val="Table5"/>
        <w:tblW w:w="92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08"/>
        <w:gridCol w:w="5580"/>
        <w:tblGridChange w:id="0">
          <w:tblGrid>
            <w:gridCol w:w="3708"/>
            <w:gridCol w:w="5580"/>
          </w:tblGrid>
        </w:tblGridChange>
      </w:tblGrid>
      <w:tr>
        <w:trPr>
          <w:cantSplit w:val="0"/>
          <w:tblHeader w:val="0"/>
        </w:trPr>
        <w:tc>
          <w:tcPr>
            <w:vAlign w:val="top"/>
          </w:tcPr>
          <w:p w:rsidR="00000000" w:rsidDel="00000000" w:rsidP="00000000" w:rsidRDefault="00000000" w:rsidRPr="00000000" w14:paraId="0000004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Competențe profesionale</w:t>
            </w:r>
          </w:p>
        </w:tc>
        <w:tc>
          <w:tcP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Capacitatea de identificare și analiză a componentelor principalelor linii de finanțare din România și analiză a obiectivelor lor ca parte a unor politici publice mai ample.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tehnicilor de managementul proiectului pentru a scrie proiecte organizaționale și proiecte de cercetare destinate finanțării</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Capacitatea de a utiliza indicatorii de rezultat și cei de realizare pentru măsurarea progreselor în cadrul proiectelor.</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Capacitatea de a realiza analize tip stake-holder.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Înțelegerea distincției dintre management  în general și management al proiectului.</w:t>
            </w:r>
          </w:p>
        </w:tc>
      </w:tr>
      <w:tr>
        <w:trPr>
          <w:cantSplit w:val="0"/>
          <w:tblHeader w:val="0"/>
        </w:trPr>
        <w:tc>
          <w:tcPr>
            <w:vAlign w:val="top"/>
          </w:tcPr>
          <w:p w:rsidR="00000000" w:rsidDel="00000000" w:rsidP="00000000" w:rsidRDefault="00000000" w:rsidRPr="00000000" w14:paraId="0000005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Competențe transversale</w:t>
            </w:r>
          </w:p>
        </w:tc>
        <w:tc>
          <w:tcPr>
            <w:vAlign w:val="top"/>
          </w:tcPr>
          <w:p w:rsidR="00000000" w:rsidDel="00000000" w:rsidP="00000000" w:rsidRDefault="00000000" w:rsidRPr="00000000" w14:paraId="00000054">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Capacitatea de a redacta proiecte organizaționale (spre exemplu proiecte structurale de tip POSDRU)</w:t>
            </w:r>
          </w:p>
          <w:p w:rsidR="00000000" w:rsidDel="00000000" w:rsidP="00000000" w:rsidRDefault="00000000" w:rsidRPr="00000000" w14:paraId="00000055">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Capacitatea de a planifica proiecte destinate finanțării prin liniile relevante oferite în România.</w:t>
            </w:r>
          </w:p>
          <w:p w:rsidR="00000000" w:rsidDel="00000000" w:rsidP="00000000" w:rsidRDefault="00000000" w:rsidRPr="00000000" w14:paraId="00000056">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Capacitatea de a analiza și evalua cereri de finanțare</w:t>
            </w:r>
          </w:p>
        </w:tc>
      </w:tr>
    </w:tbl>
    <w:p w:rsidR="00000000" w:rsidDel="00000000" w:rsidP="00000000" w:rsidRDefault="00000000" w:rsidRPr="00000000" w14:paraId="00000057">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8">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0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r w:rsidDel="00000000" w:rsidR="00000000" w:rsidRPr="00000000">
        <w:rPr>
          <w:rtl w:val="0"/>
        </w:rPr>
      </w:r>
    </w:p>
    <w:tbl>
      <w:tblPr>
        <w:tblStyle w:val="Table6"/>
        <w:tblW w:w="982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227"/>
        <w:gridCol w:w="5161"/>
        <w:gridCol w:w="1440"/>
        <w:tblGridChange w:id="0">
          <w:tblGrid>
            <w:gridCol w:w="3227"/>
            <w:gridCol w:w="5161"/>
            <w:gridCol w:w="1440"/>
          </w:tblGrid>
        </w:tblGridChange>
      </w:tblGrid>
      <w:tr>
        <w:trPr>
          <w:cantSplit w:val="0"/>
          <w:tblHeader w:val="0"/>
        </w:trPr>
        <w:tc>
          <w:tcPr>
            <w:vAlign w:val="top"/>
          </w:tcPr>
          <w:p w:rsidR="00000000" w:rsidDel="00000000" w:rsidP="00000000" w:rsidRDefault="00000000" w:rsidRPr="00000000" w14:paraId="0000005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Capitolul</w:t>
            </w:r>
            <w:r w:rsidDel="00000000" w:rsidR="00000000" w:rsidRPr="00000000">
              <w:rPr>
                <w:rtl w:val="0"/>
              </w:rPr>
            </w:r>
          </w:p>
        </w:tc>
        <w:tc>
          <w:tcPr>
            <w:vAlign w:val="top"/>
          </w:tcPr>
          <w:p w:rsidR="00000000" w:rsidDel="00000000" w:rsidP="00000000" w:rsidRDefault="00000000" w:rsidRPr="00000000" w14:paraId="0000005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Conținuturi</w:t>
            </w:r>
            <w:r w:rsidDel="00000000" w:rsidR="00000000" w:rsidRPr="00000000">
              <w:rPr>
                <w:rtl w:val="0"/>
              </w:rPr>
            </w:r>
          </w:p>
        </w:tc>
        <w:tc>
          <w:tcPr>
            <w:vAlign w:val="top"/>
          </w:tcPr>
          <w:p w:rsidR="00000000" w:rsidDel="00000000" w:rsidP="00000000" w:rsidRDefault="00000000" w:rsidRPr="00000000" w14:paraId="0000005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Nr. ore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problematica elaborarii și implementării de proiecte</w:t>
            </w:r>
          </w:p>
        </w:tc>
        <w:tc>
          <w:tcPr>
            <w:vAlign w:val="top"/>
          </w:tcPr>
          <w:p w:rsidR="00000000" w:rsidDel="00000000" w:rsidP="00000000" w:rsidRDefault="00000000" w:rsidRPr="00000000" w14:paraId="0000006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Prezentarea disciplinei, a regulilor și a principalelor teme abordate.</w:t>
            </w:r>
          </w:p>
          <w:p w:rsidR="00000000" w:rsidDel="00000000" w:rsidP="00000000" w:rsidRDefault="00000000" w:rsidRPr="00000000" w14:paraId="00000062">
            <w:pPr>
              <w:spacing w:after="0" w:lineRule="auto"/>
              <w:jc w:val="both"/>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6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[C1]</w:t>
            </w:r>
          </w:p>
          <w:p w:rsidR="00000000" w:rsidDel="00000000" w:rsidP="00000000" w:rsidRDefault="00000000" w:rsidRPr="00000000" w14:paraId="00000064">
            <w:pPr>
              <w:spacing w:after="0" w:lineRule="auto"/>
              <w:jc w:val="both"/>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Abordări teoretice ale managementului de proiect</w:t>
            </w:r>
          </w:p>
        </w:tc>
        <w:tc>
          <w:tcPr>
            <w:vAlign w:val="top"/>
          </w:tcPr>
          <w:p w:rsidR="00000000" w:rsidDel="00000000" w:rsidP="00000000" w:rsidRDefault="00000000" w:rsidRPr="00000000" w14:paraId="00000066">
            <w:pPr>
              <w:spacing w:after="0" w:lineRule="auto"/>
              <w:ind w:left="13"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Abordări instituționaliste, raționaliste și sociologice cu privire la implementarea politicilor publice. Programele de finanțare  ca politici publice</w:t>
            </w:r>
          </w:p>
        </w:tc>
        <w:tc>
          <w:tcPr>
            <w:vAlign w:val="top"/>
          </w:tcPr>
          <w:p w:rsidR="00000000" w:rsidDel="00000000" w:rsidP="00000000" w:rsidRDefault="00000000" w:rsidRPr="00000000" w14:paraId="0000006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[C2]</w:t>
            </w:r>
          </w:p>
          <w:p w:rsidR="00000000" w:rsidDel="00000000" w:rsidP="00000000" w:rsidRDefault="00000000" w:rsidRPr="00000000" w14:paraId="0000006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SI=3h</w:t>
            </w:r>
          </w:p>
        </w:tc>
      </w:tr>
      <w:tr>
        <w:trPr>
          <w:cantSplit w:val="0"/>
          <w:tblHeader w:val="0"/>
        </w:trPr>
        <w:tc>
          <w:tcPr>
            <w:vAlign w:val="top"/>
          </w:tcPr>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Cadrul teoretic al politicilor de dezvoltare</w:t>
            </w:r>
          </w:p>
        </w:tc>
        <w:tc>
          <w:tcPr>
            <w:vAlign w:val="top"/>
          </w:tcPr>
          <w:p w:rsidR="00000000" w:rsidDel="00000000" w:rsidP="00000000" w:rsidRDefault="00000000" w:rsidRPr="00000000" w14:paraId="0000006A">
            <w:pPr>
              <w:spacing w:after="0" w:lineRule="auto"/>
              <w:ind w:left="114"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Politici publice la nivelul Uniunii Europene.</w:t>
            </w:r>
          </w:p>
          <w:p w:rsidR="00000000" w:rsidDel="00000000" w:rsidP="00000000" w:rsidRDefault="00000000" w:rsidRPr="00000000" w14:paraId="0000006B">
            <w:pPr>
              <w:spacing w:after="0" w:lineRule="auto"/>
              <w:ind w:left="114" w:firstLine="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Locul programelor de finanțare in atingerea obiectivelor acestor politici publice</w:t>
            </w:r>
          </w:p>
        </w:tc>
        <w:tc>
          <w:tcPr>
            <w:vAlign w:val="top"/>
          </w:tcPr>
          <w:p w:rsidR="00000000" w:rsidDel="00000000" w:rsidP="00000000" w:rsidRDefault="00000000" w:rsidRPr="00000000" w14:paraId="0000006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[C2]</w:t>
            </w:r>
          </w:p>
          <w:p w:rsidR="00000000" w:rsidDel="00000000" w:rsidP="00000000" w:rsidRDefault="00000000" w:rsidRPr="00000000" w14:paraId="0000006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SI=3h</w:t>
            </w:r>
          </w:p>
        </w:tc>
      </w:tr>
      <w:tr>
        <w:trPr>
          <w:cantSplit w:val="0"/>
          <w:tblHeader w:val="0"/>
        </w:trPr>
        <w:tc>
          <w:tcPr>
            <w:vAlign w:val="top"/>
          </w:tcPr>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Ciclul de management al proiectului</w:t>
            </w:r>
          </w:p>
        </w:tc>
        <w:tc>
          <w:tcPr>
            <w:vAlign w:val="top"/>
          </w:tcPr>
          <w:p w:rsidR="00000000" w:rsidDel="00000000" w:rsidP="00000000" w:rsidRDefault="00000000" w:rsidRPr="00000000" w14:paraId="0000006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Prezentarea principalelor etape, a problemelor întâmpinate în fiecare etapă și a metodelor de rezolvare a lor </w:t>
            </w:r>
          </w:p>
        </w:tc>
        <w:tc>
          <w:tcPr>
            <w:vAlign w:val="top"/>
          </w:tcPr>
          <w:p w:rsidR="00000000" w:rsidDel="00000000" w:rsidP="00000000" w:rsidRDefault="00000000" w:rsidRPr="00000000" w14:paraId="0000007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[C3]</w:t>
            </w:r>
          </w:p>
          <w:p w:rsidR="00000000" w:rsidDel="00000000" w:rsidP="00000000" w:rsidRDefault="00000000" w:rsidRPr="00000000" w14:paraId="0000007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SI=3h</w:t>
            </w:r>
          </w:p>
        </w:tc>
      </w:tr>
      <w:tr>
        <w:trPr>
          <w:cantSplit w:val="0"/>
          <w:tblHeader w:val="0"/>
        </w:trPr>
        <w:tc>
          <w:tcPr>
            <w:vAlign w:val="top"/>
          </w:tcPr>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Procesul de evaluare a proiectelor</w:t>
            </w:r>
          </w:p>
        </w:tc>
        <w:tc>
          <w:tcPr>
            <w:vAlign w:val="top"/>
          </w:tcPr>
          <w:p w:rsidR="00000000" w:rsidDel="00000000" w:rsidP="00000000" w:rsidRDefault="00000000" w:rsidRPr="00000000" w14:paraId="0000007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Etapele procesului de evaluare, tipologii de evaluare operaționalizarea obiectivelor programului de finanțare prin grilele de evaluare.</w:t>
            </w:r>
          </w:p>
        </w:tc>
        <w:tc>
          <w:tcPr>
            <w:vAlign w:val="top"/>
          </w:tcPr>
          <w:p w:rsidR="00000000" w:rsidDel="00000000" w:rsidP="00000000" w:rsidRDefault="00000000" w:rsidRPr="00000000" w14:paraId="0000007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[C4]</w:t>
            </w:r>
          </w:p>
          <w:p w:rsidR="00000000" w:rsidDel="00000000" w:rsidP="00000000" w:rsidRDefault="00000000" w:rsidRPr="00000000" w14:paraId="0000007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rHeight w:val="671" w:hRule="atLeast"/>
          <w:tblHeader w:val="0"/>
        </w:trPr>
        <w:tc>
          <w:tcPr>
            <w:vAlign w:val="top"/>
          </w:tcPr>
          <w:p w:rsidR="00000000" w:rsidDel="00000000" w:rsidP="00000000" w:rsidRDefault="00000000" w:rsidRPr="00000000" w14:paraId="00000076">
            <w:pPr>
              <w:numPr>
                <w:ilvl w:val="0"/>
                <w:numId w:val="2"/>
              </w:numPr>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Managementul proiectelor I</w:t>
            </w:r>
          </w:p>
        </w:tc>
        <w:tc>
          <w:tcPr>
            <w:vAlign w:val="top"/>
          </w:tcPr>
          <w:p w:rsidR="00000000" w:rsidDel="00000000" w:rsidP="00000000" w:rsidRDefault="00000000" w:rsidRPr="00000000" w14:paraId="0000007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Resurse administrative și umane și procese de management (planificare, organizare, motivarea echipei, evaluarea resurselor, protocoale de implementare a activităților pentru atingerea obiectivelor). Analiza de modele relevante: PERT, CPM, Analiza Gantt, CCPM, Agile</w:t>
            </w:r>
          </w:p>
        </w:tc>
        <w:tc>
          <w:tcPr>
            <w:vAlign w:val="top"/>
          </w:tcPr>
          <w:p w:rsidR="00000000" w:rsidDel="00000000" w:rsidP="00000000" w:rsidRDefault="00000000" w:rsidRPr="00000000" w14:paraId="0000007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[C5]</w:t>
            </w:r>
          </w:p>
          <w:p w:rsidR="00000000" w:rsidDel="00000000" w:rsidP="00000000" w:rsidRDefault="00000000" w:rsidRPr="00000000" w14:paraId="0000007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SI=3h</w:t>
            </w:r>
          </w:p>
        </w:tc>
      </w:tr>
      <w:tr>
        <w:trPr>
          <w:cantSplit w:val="0"/>
          <w:tblHeader w:val="0"/>
        </w:trPr>
        <w:tc>
          <w:tcPr>
            <w:vAlign w:val="top"/>
          </w:tcPr>
          <w:p w:rsidR="00000000" w:rsidDel="00000000" w:rsidP="00000000" w:rsidRDefault="00000000" w:rsidRPr="00000000" w14:paraId="0000007A">
            <w:pPr>
              <w:numPr>
                <w:ilvl w:val="0"/>
                <w:numId w:val="2"/>
              </w:numPr>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Managementul proiectelor II</w:t>
            </w:r>
          </w:p>
        </w:tc>
        <w:tc>
          <w:tcPr>
            <w:vAlign w:val="top"/>
          </w:tcPr>
          <w:p w:rsidR="00000000" w:rsidDel="00000000" w:rsidP="00000000" w:rsidRDefault="00000000" w:rsidRPr="00000000" w14:paraId="0000007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Managementul resurselor financiare (analiza bugetului, realocări bugetare, optimizare, cash-flow etc).</w:t>
            </w:r>
          </w:p>
        </w:tc>
        <w:tc>
          <w:tcPr>
            <w:vAlign w:val="top"/>
          </w:tcPr>
          <w:p w:rsidR="00000000" w:rsidDel="00000000" w:rsidP="00000000" w:rsidRDefault="00000000" w:rsidRPr="00000000" w14:paraId="0000007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[C6]</w:t>
            </w:r>
          </w:p>
          <w:p w:rsidR="00000000" w:rsidDel="00000000" w:rsidP="00000000" w:rsidRDefault="00000000" w:rsidRPr="00000000" w14:paraId="0000007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SI=3h</w:t>
            </w:r>
          </w:p>
        </w:tc>
      </w:tr>
      <w:tr>
        <w:trPr>
          <w:cantSplit w:val="0"/>
          <w:tblHeader w:val="0"/>
        </w:trPr>
        <w:tc>
          <w:tcPr>
            <w:vAlign w:val="top"/>
          </w:tcPr>
          <w:p w:rsidR="00000000" w:rsidDel="00000000" w:rsidP="00000000" w:rsidRDefault="00000000" w:rsidRPr="00000000" w14:paraId="0000007E">
            <w:pPr>
              <w:numPr>
                <w:ilvl w:val="0"/>
                <w:numId w:val="2"/>
              </w:numPr>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Managementul proiectelor III</w:t>
            </w:r>
          </w:p>
        </w:tc>
        <w:tc>
          <w:tcPr>
            <w:vAlign w:val="top"/>
          </w:tcPr>
          <w:p w:rsidR="00000000" w:rsidDel="00000000" w:rsidP="00000000" w:rsidRDefault="00000000" w:rsidRPr="00000000" w14:paraId="0000007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Aspecte legale ale implementării proiectelor (cadrul legal UE, cadrul legal național, ordine, decizii, instrucțiuni)</w:t>
            </w:r>
          </w:p>
        </w:tc>
        <w:tc>
          <w:tcPr>
            <w:vAlign w:val="top"/>
          </w:tcPr>
          <w:p w:rsidR="00000000" w:rsidDel="00000000" w:rsidP="00000000" w:rsidRDefault="00000000" w:rsidRPr="00000000" w14:paraId="0000008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[C7]</w:t>
            </w:r>
          </w:p>
          <w:p w:rsidR="00000000" w:rsidDel="00000000" w:rsidP="00000000" w:rsidRDefault="00000000" w:rsidRPr="00000000" w14:paraId="0000008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blHeader w:val="0"/>
        </w:trPr>
        <w:tc>
          <w:tcPr>
            <w:vAlign w:val="top"/>
          </w:tcPr>
          <w:p w:rsidR="00000000" w:rsidDel="00000000" w:rsidP="00000000" w:rsidRDefault="00000000" w:rsidRPr="00000000" w14:paraId="00000082">
            <w:pPr>
              <w:numPr>
                <w:ilvl w:val="0"/>
                <w:numId w:val="2"/>
              </w:numPr>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Tipuri de proiecte</w:t>
            </w:r>
          </w:p>
        </w:tc>
        <w:tc>
          <w:tcPr>
            <w:vAlign w:val="top"/>
          </w:tcPr>
          <w:p w:rsidR="00000000" w:rsidDel="00000000" w:rsidP="00000000" w:rsidRDefault="00000000" w:rsidRPr="00000000" w14:paraId="0000008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Tipologii de proiecte – introducere. Proiecte din fonduri UE, SEE, elvețiene și fonduri naționale.</w:t>
            </w:r>
          </w:p>
        </w:tc>
        <w:tc>
          <w:tcPr>
            <w:vAlign w:val="top"/>
          </w:tcPr>
          <w:p w:rsidR="00000000" w:rsidDel="00000000" w:rsidP="00000000" w:rsidRDefault="00000000" w:rsidRPr="00000000" w14:paraId="0000008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[C8]</w:t>
            </w:r>
          </w:p>
          <w:p w:rsidR="00000000" w:rsidDel="00000000" w:rsidP="00000000" w:rsidRDefault="00000000" w:rsidRPr="00000000" w14:paraId="0000008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blHeader w:val="0"/>
        </w:trPr>
        <w:tc>
          <w:tcPr>
            <w:vAlign w:val="top"/>
          </w:tcPr>
          <w:p w:rsidR="00000000" w:rsidDel="00000000" w:rsidP="00000000" w:rsidRDefault="00000000" w:rsidRPr="00000000" w14:paraId="00000086">
            <w:pPr>
              <w:numPr>
                <w:ilvl w:val="0"/>
                <w:numId w:val="2"/>
              </w:numPr>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Proiecte din fonduri UE: FSE –Programe operaționale</w:t>
            </w:r>
          </w:p>
        </w:tc>
        <w:tc>
          <w:tcPr>
            <w:vAlign w:val="top"/>
          </w:tcPr>
          <w:p w:rsidR="00000000" w:rsidDel="00000000" w:rsidP="00000000" w:rsidRDefault="00000000" w:rsidRPr="00000000" w14:paraId="0000008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scopului, obiectivelor generale și specifice, tipurilor de beneficiari, activități eligibile</w:t>
            </w:r>
          </w:p>
        </w:tc>
        <w:tc>
          <w:tcPr>
            <w:vAlign w:val="top"/>
          </w:tcPr>
          <w:p w:rsidR="00000000" w:rsidDel="00000000" w:rsidP="00000000" w:rsidRDefault="00000000" w:rsidRPr="00000000" w14:paraId="0000008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[C9]</w:t>
            </w:r>
          </w:p>
          <w:p w:rsidR="00000000" w:rsidDel="00000000" w:rsidP="00000000" w:rsidRDefault="00000000" w:rsidRPr="00000000" w14:paraId="0000008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p w:rsidR="00000000" w:rsidDel="00000000" w:rsidP="00000000" w:rsidRDefault="00000000" w:rsidRPr="00000000" w14:paraId="0000008A">
            <w:pPr>
              <w:spacing w:after="0" w:lineRule="auto"/>
              <w:jc w:val="both"/>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B">
            <w:pPr>
              <w:numPr>
                <w:ilvl w:val="0"/>
                <w:numId w:val="2"/>
              </w:numPr>
              <w:tabs>
                <w:tab w:val="left" w:leader="none" w:pos="426"/>
              </w:tabs>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Proiecte din fonduri UE: FRE –Programe operaționale</w:t>
            </w:r>
          </w:p>
        </w:tc>
        <w:tc>
          <w:tcPr>
            <w:vAlign w:val="top"/>
          </w:tcPr>
          <w:p w:rsidR="00000000" w:rsidDel="00000000" w:rsidP="00000000" w:rsidRDefault="00000000" w:rsidRPr="00000000" w14:paraId="0000008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scopului, obiectivelor generale și specifice, tipurilor de beneficiari, activități eligibile</w:t>
            </w:r>
          </w:p>
        </w:tc>
        <w:tc>
          <w:tcPr>
            <w:vAlign w:val="top"/>
          </w:tcPr>
          <w:p w:rsidR="00000000" w:rsidDel="00000000" w:rsidP="00000000" w:rsidRDefault="00000000" w:rsidRPr="00000000" w14:paraId="0000008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[C10]</w:t>
            </w:r>
          </w:p>
          <w:p w:rsidR="00000000" w:rsidDel="00000000" w:rsidP="00000000" w:rsidRDefault="00000000" w:rsidRPr="00000000" w14:paraId="0000008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blHeader w:val="0"/>
        </w:trPr>
        <w:tc>
          <w:tcPr>
            <w:vAlign w:val="top"/>
          </w:tcPr>
          <w:p w:rsidR="00000000" w:rsidDel="00000000" w:rsidP="00000000" w:rsidRDefault="00000000" w:rsidRPr="00000000" w14:paraId="0000008F">
            <w:pPr>
              <w:numPr>
                <w:ilvl w:val="0"/>
                <w:numId w:val="2"/>
              </w:numPr>
              <w:tabs>
                <w:tab w:val="left" w:leader="none" w:pos="426"/>
              </w:tabs>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Proiecte din fonduri UE: fonduri destinate cercetării – Horizon 2020</w:t>
            </w:r>
          </w:p>
        </w:tc>
        <w:tc>
          <w:tcPr>
            <w:vAlign w:val="top"/>
          </w:tcPr>
          <w:p w:rsidR="00000000" w:rsidDel="00000000" w:rsidP="00000000" w:rsidRDefault="00000000" w:rsidRPr="00000000" w14:paraId="0000009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scopului, obiectivelor generale și specifice, tipurilor de beneficiari, activități eligibile</w:t>
            </w:r>
          </w:p>
        </w:tc>
        <w:tc>
          <w:tcPr>
            <w:vAlign w:val="top"/>
          </w:tcPr>
          <w:p w:rsidR="00000000" w:rsidDel="00000000" w:rsidP="00000000" w:rsidRDefault="00000000" w:rsidRPr="00000000" w14:paraId="0000009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[C12]</w:t>
            </w:r>
          </w:p>
          <w:p w:rsidR="00000000" w:rsidDel="00000000" w:rsidP="00000000" w:rsidRDefault="00000000" w:rsidRPr="00000000" w14:paraId="0000009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blHeader w:val="0"/>
        </w:trPr>
        <w:tc>
          <w:tcPr>
            <w:vAlign w:val="top"/>
          </w:tcPr>
          <w:p w:rsidR="00000000" w:rsidDel="00000000" w:rsidP="00000000" w:rsidRDefault="00000000" w:rsidRPr="00000000" w14:paraId="00000093">
            <w:pPr>
              <w:numPr>
                <w:ilvl w:val="0"/>
                <w:numId w:val="2"/>
              </w:numPr>
              <w:tabs>
                <w:tab w:val="left" w:leader="none" w:pos="426"/>
              </w:tabs>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Proiecte din fonduri UE: PAC</w:t>
            </w:r>
          </w:p>
        </w:tc>
        <w:tc>
          <w:tcPr>
            <w:vAlign w:val="top"/>
          </w:tcPr>
          <w:p w:rsidR="00000000" w:rsidDel="00000000" w:rsidP="00000000" w:rsidRDefault="00000000" w:rsidRPr="00000000" w14:paraId="0000009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scopului, obiectivelor generale și specifice, tipurilor de beneficiari, activități eligibile</w:t>
            </w:r>
          </w:p>
        </w:tc>
        <w:tc>
          <w:tcPr>
            <w:vAlign w:val="top"/>
          </w:tcPr>
          <w:p w:rsidR="00000000" w:rsidDel="00000000" w:rsidP="00000000" w:rsidRDefault="00000000" w:rsidRPr="00000000" w14:paraId="0000009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[C13]</w:t>
            </w:r>
          </w:p>
          <w:p w:rsidR="00000000" w:rsidDel="00000000" w:rsidP="00000000" w:rsidRDefault="00000000" w:rsidRPr="00000000" w14:paraId="0000009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SI=3h</w:t>
            </w:r>
          </w:p>
        </w:tc>
      </w:tr>
      <w:tr>
        <w:trPr>
          <w:cantSplit w:val="0"/>
          <w:tblHeader w:val="0"/>
        </w:trPr>
        <w:tc>
          <w:tcPr>
            <w:vAlign w:val="top"/>
          </w:tcPr>
          <w:p w:rsidR="00000000" w:rsidDel="00000000" w:rsidP="00000000" w:rsidRDefault="00000000" w:rsidRPr="00000000" w14:paraId="00000097">
            <w:pPr>
              <w:numPr>
                <w:ilvl w:val="0"/>
                <w:numId w:val="2"/>
              </w:numPr>
              <w:tabs>
                <w:tab w:val="left" w:leader="none" w:pos="426"/>
              </w:tabs>
              <w:spacing w:after="0" w:lineRule="auto"/>
              <w:ind w:left="284" w:hanging="284"/>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Proiecte de cercetare din surse naționale</w:t>
            </w:r>
          </w:p>
        </w:tc>
        <w:tc>
          <w:tcPr>
            <w:vAlign w:val="top"/>
          </w:tcPr>
          <w:p w:rsidR="00000000" w:rsidDel="00000000" w:rsidP="00000000" w:rsidRDefault="00000000" w:rsidRPr="00000000" w14:paraId="0000009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scopului, obiectivelor generale și specifice, tipurilor de beneficiari, activități eligibile</w:t>
            </w:r>
          </w:p>
        </w:tc>
        <w:tc>
          <w:tcPr>
            <w:vAlign w:val="top"/>
          </w:tcPr>
          <w:p w:rsidR="00000000" w:rsidDel="00000000" w:rsidP="00000000" w:rsidRDefault="00000000" w:rsidRPr="00000000" w14:paraId="0000009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C=2h [C14]</w:t>
            </w:r>
          </w:p>
          <w:p w:rsidR="00000000" w:rsidDel="00000000" w:rsidP="00000000" w:rsidRDefault="00000000" w:rsidRPr="00000000" w14:paraId="0000009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rHeight w:val="376" w:hRule="atLeast"/>
          <w:tblHeader w:val="0"/>
        </w:trPr>
        <w:tc>
          <w:tcPr>
            <w:gridSpan w:val="2"/>
            <w:vAlign w:val="top"/>
          </w:tcPr>
          <w:p w:rsidR="00000000" w:rsidDel="00000000" w:rsidP="00000000" w:rsidRDefault="00000000" w:rsidRPr="00000000" w14:paraId="0000009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Total ore</w:t>
            </w:r>
            <w:r w:rsidDel="00000000" w:rsidR="00000000" w:rsidRPr="00000000">
              <w:rPr>
                <w:rtl w:val="0"/>
              </w:rPr>
            </w:r>
          </w:p>
        </w:tc>
        <w:tc>
          <w:tcPr>
            <w:vAlign w:val="top"/>
          </w:tcPr>
          <w:p w:rsidR="00000000" w:rsidDel="00000000" w:rsidP="00000000" w:rsidRDefault="00000000" w:rsidRPr="00000000" w14:paraId="0000009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C=28h, SI=32</w:t>
            </w:r>
          </w:p>
        </w:tc>
      </w:tr>
    </w:tbl>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F">
      <w:pPr>
        <w:spacing w:after="0" w:lineRule="auto"/>
        <w:jc w:val="both"/>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b w:val="1"/>
          <w:bCs w:val="1"/>
          <w:i w:val="1"/>
          <w:iCs w:val="1"/>
          <w:vertAlign w:val="baseline"/>
          <w:rtl w:val="0"/>
        </w:rPr>
        <w:t xml:space="preserve">b) Aplicaţii</w:t>
      </w:r>
      <w:r w:rsidDel="00000000" w:rsidR="00000000" w:rsidRPr="00000000">
        <w:rPr>
          <w:rtl w:val="0"/>
        </w:rPr>
      </w:r>
    </w:p>
    <w:tbl>
      <w:tblPr>
        <w:tblStyle w:val="Table7"/>
        <w:tblW w:w="982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5445"/>
        <w:gridCol w:w="1440"/>
        <w:tblGridChange w:id="0">
          <w:tblGrid>
            <w:gridCol w:w="2943"/>
            <w:gridCol w:w="5445"/>
            <w:gridCol w:w="1440"/>
          </w:tblGrid>
        </w:tblGridChange>
      </w:tblGrid>
      <w:tr>
        <w:trPr>
          <w:cantSplit w:val="0"/>
          <w:tblHeader w:val="0"/>
        </w:trPr>
        <w:tc>
          <w:tcPr>
            <w:vAlign w:val="top"/>
          </w:tcPr>
          <w:p w:rsidR="00000000" w:rsidDel="00000000" w:rsidP="00000000" w:rsidRDefault="00000000" w:rsidRPr="00000000" w14:paraId="000000A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Capitolul</w:t>
            </w:r>
            <w:r w:rsidDel="00000000" w:rsidR="00000000" w:rsidRPr="00000000">
              <w:rPr>
                <w:rtl w:val="0"/>
              </w:rPr>
            </w:r>
          </w:p>
        </w:tc>
        <w:tc>
          <w:tcPr>
            <w:vAlign w:val="top"/>
          </w:tcPr>
          <w:p w:rsidR="00000000" w:rsidDel="00000000" w:rsidP="00000000" w:rsidRDefault="00000000" w:rsidRPr="00000000" w14:paraId="000000A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Conținuturi</w:t>
            </w:r>
            <w:r w:rsidDel="00000000" w:rsidR="00000000" w:rsidRPr="00000000">
              <w:rPr>
                <w:rtl w:val="0"/>
              </w:rPr>
            </w:r>
          </w:p>
        </w:tc>
        <w:tc>
          <w:tcPr>
            <w:vAlign w:val="top"/>
          </w:tcPr>
          <w:p w:rsidR="00000000" w:rsidDel="00000000" w:rsidP="00000000" w:rsidRDefault="00000000" w:rsidRPr="00000000" w14:paraId="000000A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Nr. ore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Introducere în problematica scrierii și implementării de proiecte</w:t>
            </w:r>
          </w:p>
        </w:tc>
        <w:tc>
          <w:tcPr>
            <w:vAlign w:val="top"/>
          </w:tcPr>
          <w:p w:rsidR="00000000" w:rsidDel="00000000" w:rsidP="00000000" w:rsidRDefault="00000000" w:rsidRPr="00000000" w14:paraId="000000A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Prezentarea disciplinei, a regulilor și a principalelor teme abordate.</w:t>
            </w:r>
          </w:p>
          <w:p w:rsidR="00000000" w:rsidDel="00000000" w:rsidP="00000000" w:rsidRDefault="00000000" w:rsidRPr="00000000" w14:paraId="000000A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Prezentarea metodologiei pentru realizarea proiectului de seminar</w:t>
            </w:r>
          </w:p>
        </w:tc>
        <w:tc>
          <w:tcPr>
            <w:vAlign w:val="top"/>
          </w:tcPr>
          <w:p w:rsidR="00000000" w:rsidDel="00000000" w:rsidP="00000000" w:rsidRDefault="00000000" w:rsidRPr="00000000" w14:paraId="000000A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w:t>
            </w:r>
          </w:p>
        </w:tc>
      </w:tr>
      <w:tr>
        <w:trPr>
          <w:cantSplit w:val="0"/>
          <w:tblHeader w:val="0"/>
        </w:trPr>
        <w:tc>
          <w:tcPr>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2) Teorii ale managementului de proiect</w:t>
            </w:r>
          </w:p>
        </w:tc>
        <w:tc>
          <w:tcPr>
            <w:vAlign w:val="top"/>
          </w:tcPr>
          <w:p w:rsidR="00000000" w:rsidDel="00000000" w:rsidP="00000000" w:rsidRDefault="00000000" w:rsidRPr="00000000" w14:paraId="000000A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Aplicații ale teoriilor despre managementul proiectului</w:t>
            </w:r>
          </w:p>
        </w:tc>
        <w:tc>
          <w:tcPr>
            <w:vAlign w:val="top"/>
          </w:tcPr>
          <w:p w:rsidR="00000000" w:rsidDel="00000000" w:rsidP="00000000" w:rsidRDefault="00000000" w:rsidRPr="00000000" w14:paraId="000000A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[S2]</w:t>
            </w:r>
          </w:p>
          <w:p w:rsidR="00000000" w:rsidDel="00000000" w:rsidP="00000000" w:rsidRDefault="00000000" w:rsidRPr="00000000" w14:paraId="000000A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3)Introducere în management de proiect</w:t>
            </w:r>
          </w:p>
        </w:tc>
        <w:tc>
          <w:tcPr>
            <w:vAlign w:val="top"/>
          </w:tcPr>
          <w:p w:rsidR="00000000" w:rsidDel="00000000" w:rsidP="00000000" w:rsidRDefault="00000000" w:rsidRPr="00000000" w14:paraId="000000A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Definirea " managementului de proiect "</w:t>
            </w:r>
          </w:p>
          <w:p w:rsidR="00000000" w:rsidDel="00000000" w:rsidP="00000000" w:rsidRDefault="00000000" w:rsidRPr="00000000" w14:paraId="000000A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Explorarea de oportunități în domeniul managementului de proiect</w:t>
            </w:r>
          </w:p>
          <w:p w:rsidR="00000000" w:rsidDel="00000000" w:rsidP="00000000" w:rsidRDefault="00000000" w:rsidRPr="00000000" w14:paraId="000000A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Dezvoltarea abilităților de management de proiect</w:t>
            </w:r>
          </w:p>
          <w:p w:rsidR="00000000" w:rsidDel="00000000" w:rsidP="00000000" w:rsidRDefault="00000000" w:rsidRPr="00000000" w14:paraId="000000A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Analiza diferitelor tipuri de proiecte</w:t>
            </w:r>
          </w:p>
          <w:p w:rsidR="00000000" w:rsidDel="00000000" w:rsidP="00000000" w:rsidRDefault="00000000" w:rsidRPr="00000000" w14:paraId="000000B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diferența dintre proiecte și programe</w:t>
            </w:r>
          </w:p>
        </w:tc>
        <w:tc>
          <w:tcPr>
            <w:vAlign w:val="top"/>
          </w:tcPr>
          <w:p w:rsidR="00000000" w:rsidDel="00000000" w:rsidP="00000000" w:rsidRDefault="00000000" w:rsidRPr="00000000" w14:paraId="000000B1">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B2">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B3">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B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[S3]</w:t>
            </w:r>
          </w:p>
          <w:p w:rsidR="00000000" w:rsidDel="00000000" w:rsidP="00000000" w:rsidRDefault="00000000" w:rsidRPr="00000000" w14:paraId="000000B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4) Scrierea unui proiect: Citirea aplicației</w:t>
            </w:r>
          </w:p>
        </w:tc>
        <w:tc>
          <w:tcPr>
            <w:vAlign w:val="top"/>
          </w:tcPr>
          <w:p w:rsidR="00000000" w:rsidDel="00000000" w:rsidP="00000000" w:rsidRDefault="00000000" w:rsidRPr="00000000" w14:paraId="000000B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Citirea aplicației, elemente cheie.</w:t>
            </w:r>
          </w:p>
          <w:p w:rsidR="00000000" w:rsidDel="00000000" w:rsidP="00000000" w:rsidRDefault="00000000" w:rsidRPr="00000000" w14:paraId="000000B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Scop, obiective generale, obiective specifice, indicatori.</w:t>
            </w:r>
          </w:p>
          <w:p w:rsidR="00000000" w:rsidDel="00000000" w:rsidP="00000000" w:rsidRDefault="00000000" w:rsidRPr="00000000" w14:paraId="000000B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Aspecte financiare – scrierea bugetului, activități eligibile,  justificarea bugetului</w:t>
            </w:r>
          </w:p>
          <w:p w:rsidR="00000000" w:rsidDel="00000000" w:rsidP="00000000" w:rsidRDefault="00000000" w:rsidRPr="00000000" w14:paraId="000000B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Activități eligibile</w:t>
            </w:r>
          </w:p>
          <w:p w:rsidR="00000000" w:rsidDel="00000000" w:rsidP="00000000" w:rsidRDefault="00000000" w:rsidRPr="00000000" w14:paraId="000000B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Grupul țintă</w:t>
            </w:r>
          </w:p>
          <w:p w:rsidR="00000000" w:rsidDel="00000000" w:rsidP="00000000" w:rsidRDefault="00000000" w:rsidRPr="00000000" w14:paraId="000000B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Caracteristicile solicitanților și a partenerilor</w:t>
            </w:r>
          </w:p>
          <w:p w:rsidR="00000000" w:rsidDel="00000000" w:rsidP="00000000" w:rsidRDefault="00000000" w:rsidRPr="00000000" w14:paraId="000000B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Scrierea parteneriatelor</w:t>
            </w:r>
          </w:p>
          <w:p w:rsidR="00000000" w:rsidDel="00000000" w:rsidP="00000000" w:rsidRDefault="00000000" w:rsidRPr="00000000" w14:paraId="000000B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Aspecte legate de evaluarea proiectelor – grile de evaluare</w:t>
            </w:r>
          </w:p>
        </w:tc>
        <w:tc>
          <w:tcPr>
            <w:vAlign w:val="top"/>
          </w:tcPr>
          <w:p w:rsidR="00000000" w:rsidDel="00000000" w:rsidP="00000000" w:rsidRDefault="00000000" w:rsidRPr="00000000" w14:paraId="000000BF">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C0">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C1">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C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[S4]</w:t>
            </w:r>
          </w:p>
          <w:p w:rsidR="00000000" w:rsidDel="00000000" w:rsidP="00000000" w:rsidRDefault="00000000" w:rsidRPr="00000000" w14:paraId="000000C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5) Scrierea unui proiect:</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 grilei de evaluare</w:t>
            </w:r>
          </w:p>
        </w:tc>
        <w:tc>
          <w:tcPr>
            <w:vAlign w:val="top"/>
          </w:tcPr>
          <w:p w:rsidR="00000000" w:rsidDel="00000000" w:rsidP="00000000" w:rsidRDefault="00000000" w:rsidRPr="00000000" w14:paraId="000000C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Evaluarea fezabilității unui proiect</w:t>
            </w:r>
          </w:p>
          <w:p w:rsidR="00000000" w:rsidDel="00000000" w:rsidP="00000000" w:rsidRDefault="00000000" w:rsidRPr="00000000" w14:paraId="000000C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Elemente de evaluare ale indicatorilor  si grupului ținta</w:t>
            </w:r>
          </w:p>
          <w:p w:rsidR="00000000" w:rsidDel="00000000" w:rsidP="00000000" w:rsidRDefault="00000000" w:rsidRPr="00000000" w14:paraId="000000C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Elemente de evaluare administrativă</w:t>
            </w:r>
          </w:p>
          <w:p w:rsidR="00000000" w:rsidDel="00000000" w:rsidP="00000000" w:rsidRDefault="00000000" w:rsidRPr="00000000" w14:paraId="000000C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Elemente de evaluare financiară</w:t>
            </w:r>
          </w:p>
        </w:tc>
        <w:tc>
          <w:tcPr>
            <w:vAlign w:val="top"/>
          </w:tcPr>
          <w:p w:rsidR="00000000" w:rsidDel="00000000" w:rsidP="00000000" w:rsidRDefault="00000000" w:rsidRPr="00000000" w14:paraId="000000CA">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C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[S5]</w:t>
            </w:r>
          </w:p>
          <w:p w:rsidR="00000000" w:rsidDel="00000000" w:rsidP="00000000" w:rsidRDefault="00000000" w:rsidRPr="00000000" w14:paraId="000000C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 </w:t>
            </w:r>
          </w:p>
        </w:tc>
      </w:tr>
      <w:tr>
        <w:trPr>
          <w:cantSplit w:val="0"/>
          <w:tblHeader w:val="0"/>
        </w:trPr>
        <w:tc>
          <w:tcPr>
            <w:vAlign w:val="top"/>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6) Scrierea unui proiect:</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Bugetarea</w:t>
            </w:r>
          </w:p>
        </w:tc>
        <w:tc>
          <w:tcPr>
            <w:vAlign w:val="top"/>
          </w:tcPr>
          <w:p w:rsidR="00000000" w:rsidDel="00000000" w:rsidP="00000000" w:rsidRDefault="00000000" w:rsidRPr="00000000" w14:paraId="000000C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Scrierea bugetului si justificare lui</w:t>
            </w:r>
          </w:p>
        </w:tc>
        <w:tc>
          <w:tcPr>
            <w:vAlign w:val="top"/>
          </w:tcPr>
          <w:p w:rsidR="00000000" w:rsidDel="00000000" w:rsidP="00000000" w:rsidRDefault="00000000" w:rsidRPr="00000000" w14:paraId="000000D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[S6]</w:t>
            </w:r>
          </w:p>
          <w:p w:rsidR="00000000" w:rsidDel="00000000" w:rsidP="00000000" w:rsidRDefault="00000000" w:rsidRPr="00000000" w14:paraId="000000D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7) (seminar) Contractarea proiectului</w:t>
            </w:r>
          </w:p>
        </w:tc>
        <w:tc>
          <w:tcPr>
            <w:vAlign w:val="top"/>
          </w:tcPr>
          <w:p w:rsidR="00000000" w:rsidDel="00000000" w:rsidP="00000000" w:rsidRDefault="00000000" w:rsidRPr="00000000" w14:paraId="000000D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Analiza dosarului de contractare</w:t>
            </w:r>
          </w:p>
          <w:p w:rsidR="00000000" w:rsidDel="00000000" w:rsidP="00000000" w:rsidRDefault="00000000" w:rsidRPr="00000000" w14:paraId="000000D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Identificarea problemelor legate de prevederile contractului de finanțare</w:t>
            </w:r>
          </w:p>
        </w:tc>
        <w:tc>
          <w:tcPr>
            <w:vAlign w:val="top"/>
          </w:tcPr>
          <w:p w:rsidR="00000000" w:rsidDel="00000000" w:rsidP="00000000" w:rsidRDefault="00000000" w:rsidRPr="00000000" w14:paraId="000000D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[S7]</w:t>
            </w:r>
          </w:p>
          <w:p w:rsidR="00000000" w:rsidDel="00000000" w:rsidP="00000000" w:rsidRDefault="00000000" w:rsidRPr="00000000" w14:paraId="000000D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8) (seminar) Resursele umane din proiect</w:t>
            </w:r>
          </w:p>
        </w:tc>
        <w:tc>
          <w:tcPr>
            <w:vAlign w:val="top"/>
          </w:tcPr>
          <w:p w:rsidR="00000000" w:rsidDel="00000000" w:rsidP="00000000" w:rsidRDefault="00000000" w:rsidRPr="00000000" w14:paraId="000000D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Recrutarea echipa de proiect</w:t>
            </w:r>
          </w:p>
          <w:p w:rsidR="00000000" w:rsidDel="00000000" w:rsidP="00000000" w:rsidRDefault="00000000" w:rsidRPr="00000000" w14:paraId="000000D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Planificarea resurselor pentru echipa de proiect</w:t>
            </w:r>
          </w:p>
          <w:p w:rsidR="00000000" w:rsidDel="00000000" w:rsidP="00000000" w:rsidRDefault="00000000" w:rsidRPr="00000000" w14:paraId="000000D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Gestionarea echipei de proiect</w:t>
            </w:r>
          </w:p>
          <w:p w:rsidR="00000000" w:rsidDel="00000000" w:rsidP="00000000" w:rsidRDefault="00000000" w:rsidRPr="00000000" w14:paraId="000000D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Gestionare a conflictelor în echipa de proiect</w:t>
            </w:r>
          </w:p>
        </w:tc>
        <w:tc>
          <w:tcPr>
            <w:vAlign w:val="top"/>
          </w:tcPr>
          <w:p w:rsidR="00000000" w:rsidDel="00000000" w:rsidP="00000000" w:rsidRDefault="00000000" w:rsidRPr="00000000" w14:paraId="000000D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[S8]</w:t>
            </w:r>
          </w:p>
          <w:p w:rsidR="00000000" w:rsidDel="00000000" w:rsidP="00000000" w:rsidRDefault="00000000" w:rsidRPr="00000000" w14:paraId="000000D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rHeight w:val="1110" w:hRule="atLeast"/>
          <w:tblHeader w:val="0"/>
        </w:trPr>
        <w:tc>
          <w:tcPr>
            <w:vAlign w:val="top"/>
          </w:tcPr>
          <w:p w:rsidR="00000000" w:rsidDel="00000000" w:rsidP="00000000" w:rsidRDefault="00000000" w:rsidRPr="00000000" w14:paraId="000000D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9) (seminar) Implementarea proiectului – aspecte generale</w:t>
            </w:r>
          </w:p>
        </w:tc>
        <w:tc>
          <w:tcPr>
            <w:vAlign w:val="top"/>
          </w:tcPr>
          <w:p w:rsidR="00000000" w:rsidDel="00000000" w:rsidP="00000000" w:rsidRDefault="00000000" w:rsidRPr="00000000" w14:paraId="000000D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Gestionarea unui proiect</w:t>
            </w:r>
          </w:p>
          <w:p w:rsidR="00000000" w:rsidDel="00000000" w:rsidP="00000000" w:rsidRDefault="00000000" w:rsidRPr="00000000" w14:paraId="000000E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Înființarea unei baze de date a proiectului</w:t>
            </w:r>
          </w:p>
          <w:p w:rsidR="00000000" w:rsidDel="00000000" w:rsidP="00000000" w:rsidRDefault="00000000" w:rsidRPr="00000000" w14:paraId="000000E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Crearea unui program de lucru eficient</w:t>
            </w:r>
          </w:p>
          <w:p w:rsidR="00000000" w:rsidDel="00000000" w:rsidP="00000000" w:rsidRDefault="00000000" w:rsidRPr="00000000" w14:paraId="000000E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Monitorizarea unui proiect</w:t>
            </w:r>
          </w:p>
        </w:tc>
        <w:tc>
          <w:tcPr>
            <w:vAlign w:val="top"/>
          </w:tcPr>
          <w:p w:rsidR="00000000" w:rsidDel="00000000" w:rsidP="00000000" w:rsidRDefault="00000000" w:rsidRPr="00000000" w14:paraId="000000E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[S9]</w:t>
            </w:r>
          </w:p>
          <w:p w:rsidR="00000000" w:rsidDel="00000000" w:rsidP="00000000" w:rsidRDefault="00000000" w:rsidRPr="00000000" w14:paraId="000000E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E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10) (seminar) Instrumente de ameliorare a implementării proiectului</w:t>
            </w:r>
          </w:p>
        </w:tc>
        <w:tc>
          <w:tcPr>
            <w:vAlign w:val="top"/>
          </w:tcPr>
          <w:p w:rsidR="00000000" w:rsidDel="00000000" w:rsidP="00000000" w:rsidRDefault="00000000" w:rsidRPr="00000000" w14:paraId="000000E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Identificarea structurilor organizaționale</w:t>
            </w:r>
          </w:p>
          <w:p w:rsidR="00000000" w:rsidDel="00000000" w:rsidP="00000000" w:rsidRDefault="00000000" w:rsidRPr="00000000" w14:paraId="000000E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Estimarea costurilor și bugetarea</w:t>
            </w:r>
          </w:p>
          <w:p w:rsidR="00000000" w:rsidDel="00000000" w:rsidP="00000000" w:rsidRDefault="00000000" w:rsidRPr="00000000" w14:paraId="000000E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Utilizarea instrumentelor critice de management de proiect cale (WBS , diagrama Gantt , diagrama de rețea de proiect)</w:t>
            </w:r>
          </w:p>
          <w:p w:rsidR="00000000" w:rsidDel="00000000" w:rsidP="00000000" w:rsidRDefault="00000000" w:rsidRPr="00000000" w14:paraId="000000E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Urmărirea etapele proiectului</w:t>
            </w:r>
          </w:p>
          <w:p w:rsidR="00000000" w:rsidDel="00000000" w:rsidP="00000000" w:rsidRDefault="00000000" w:rsidRPr="00000000" w14:paraId="000000E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Tehnici de evaluare si revizuire a proiectului</w:t>
            </w:r>
          </w:p>
        </w:tc>
        <w:tc>
          <w:tcPr>
            <w:vAlign w:val="top"/>
          </w:tcPr>
          <w:p w:rsidR="00000000" w:rsidDel="00000000" w:rsidP="00000000" w:rsidRDefault="00000000" w:rsidRPr="00000000" w14:paraId="000000E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[S10]</w:t>
            </w:r>
          </w:p>
          <w:p w:rsidR="00000000" w:rsidDel="00000000" w:rsidP="00000000" w:rsidRDefault="00000000" w:rsidRPr="00000000" w14:paraId="000000E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E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11)(seminar) Managementul financiar</w:t>
            </w:r>
          </w:p>
        </w:tc>
        <w:tc>
          <w:tcPr>
            <w:vAlign w:val="top"/>
          </w:tcPr>
          <w:p w:rsidR="00000000" w:rsidDel="00000000" w:rsidP="00000000" w:rsidRDefault="00000000" w:rsidRPr="00000000" w14:paraId="000000E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Elemente generale</w:t>
            </w:r>
          </w:p>
          <w:p w:rsidR="00000000" w:rsidDel="00000000" w:rsidP="00000000" w:rsidRDefault="00000000" w:rsidRPr="00000000" w14:paraId="000000E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Identificarea costurilor proiectului</w:t>
            </w:r>
          </w:p>
        </w:tc>
        <w:tc>
          <w:tcPr>
            <w:vAlign w:val="top"/>
          </w:tcPr>
          <w:p w:rsidR="00000000" w:rsidDel="00000000" w:rsidP="00000000" w:rsidRDefault="00000000" w:rsidRPr="00000000" w14:paraId="000000F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[S11]</w:t>
            </w:r>
          </w:p>
          <w:p w:rsidR="00000000" w:rsidDel="00000000" w:rsidP="00000000" w:rsidRDefault="00000000" w:rsidRPr="00000000" w14:paraId="000000F1">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F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12)(seminar) Managementul financiar</w:t>
            </w:r>
          </w:p>
        </w:tc>
        <w:tc>
          <w:tcPr>
            <w:vAlign w:val="top"/>
          </w:tcPr>
          <w:p w:rsidR="00000000" w:rsidDel="00000000" w:rsidP="00000000" w:rsidRDefault="00000000" w:rsidRPr="00000000" w14:paraId="000000F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Realizarea cash-flow-ului</w:t>
            </w:r>
          </w:p>
          <w:p w:rsidR="00000000" w:rsidDel="00000000" w:rsidP="00000000" w:rsidRDefault="00000000" w:rsidRPr="00000000" w14:paraId="000000F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Analiza bugetului</w:t>
            </w:r>
          </w:p>
          <w:p w:rsidR="00000000" w:rsidDel="00000000" w:rsidP="00000000" w:rsidRDefault="00000000" w:rsidRPr="00000000" w14:paraId="000000F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Verificarea eligibilității cheltuielilor</w:t>
            </w:r>
          </w:p>
        </w:tc>
        <w:tc>
          <w:tcPr>
            <w:vAlign w:val="top"/>
          </w:tcPr>
          <w:p w:rsidR="00000000" w:rsidDel="00000000" w:rsidP="00000000" w:rsidRDefault="00000000" w:rsidRPr="00000000" w14:paraId="000000F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[S12]</w:t>
            </w:r>
          </w:p>
          <w:p w:rsidR="00000000" w:rsidDel="00000000" w:rsidP="00000000" w:rsidRDefault="00000000" w:rsidRPr="00000000" w14:paraId="000000F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tc>
      </w:tr>
      <w:tr>
        <w:trPr>
          <w:cantSplit w:val="0"/>
          <w:tblHeader w:val="0"/>
        </w:trPr>
        <w:tc>
          <w:tcPr>
            <w:vAlign w:val="top"/>
          </w:tcPr>
          <w:p w:rsidR="00000000" w:rsidDel="00000000" w:rsidP="00000000" w:rsidRDefault="00000000" w:rsidRPr="00000000" w14:paraId="000000F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13)(seminar) Managementul financiar</w:t>
            </w:r>
          </w:p>
        </w:tc>
        <w:tc>
          <w:tcPr>
            <w:vAlign w:val="top"/>
          </w:tcPr>
          <w:p w:rsidR="00000000" w:rsidDel="00000000" w:rsidP="00000000" w:rsidRDefault="00000000" w:rsidRPr="00000000" w14:paraId="000000F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Calcularea rentabilității investiției </w:t>
            </w:r>
          </w:p>
          <w:p w:rsidR="00000000" w:rsidDel="00000000" w:rsidP="00000000" w:rsidRDefault="00000000" w:rsidRPr="00000000" w14:paraId="000000F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Calcularea o perioada de amortizare</w:t>
            </w:r>
          </w:p>
          <w:p w:rsidR="00000000" w:rsidDel="00000000" w:rsidP="00000000" w:rsidRDefault="00000000" w:rsidRPr="00000000" w14:paraId="000000F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Predarea unui proiect</w:t>
            </w:r>
          </w:p>
          <w:p w:rsidR="00000000" w:rsidDel="00000000" w:rsidP="00000000" w:rsidRDefault="00000000" w:rsidRPr="00000000" w14:paraId="000000F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Închiderea unui proiect</w:t>
            </w:r>
          </w:p>
          <w:p w:rsidR="00000000" w:rsidDel="00000000" w:rsidP="00000000" w:rsidRDefault="00000000" w:rsidRPr="00000000" w14:paraId="000000F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Revizuirea unui proiect</w:t>
            </w:r>
          </w:p>
        </w:tc>
        <w:tc>
          <w:tcPr>
            <w:vAlign w:val="top"/>
          </w:tcPr>
          <w:p w:rsidR="00000000" w:rsidDel="00000000" w:rsidP="00000000" w:rsidRDefault="00000000" w:rsidRPr="00000000" w14:paraId="000000F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[S13]</w:t>
            </w:r>
          </w:p>
          <w:p w:rsidR="00000000" w:rsidDel="00000000" w:rsidP="00000000" w:rsidRDefault="00000000" w:rsidRPr="00000000" w14:paraId="000000F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SI=5h</w:t>
            </w:r>
          </w:p>
          <w:p w:rsidR="00000000" w:rsidDel="00000000" w:rsidP="00000000" w:rsidRDefault="00000000" w:rsidRPr="00000000" w14:paraId="00000100">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01">
            <w:pPr>
              <w:spacing w:after="0" w:lineRule="auto"/>
              <w:jc w:val="both"/>
              <w:rPr>
                <w:rFonts w:ascii="Times New Roman" w:cs="Times New Roman" w:eastAsia="Times New Roman" w:hAnsi="Times New Roman"/>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2">
            <w:pPr>
              <w:tabs>
                <w:tab w:val="left" w:leader="none" w:pos="426"/>
              </w:tabs>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14)(seminar) Analiza proiectelor de seminar</w:t>
            </w:r>
          </w:p>
        </w:tc>
        <w:tc>
          <w:tcPr>
            <w:vAlign w:val="top"/>
          </w:tcPr>
          <w:p w:rsidR="00000000" w:rsidDel="00000000" w:rsidP="00000000" w:rsidRDefault="00000000" w:rsidRPr="00000000" w14:paraId="00000103">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 fiecare seminar se vor discuta următoarele etape cu studenții:</w:t>
            </w:r>
          </w:p>
          <w:p w:rsidR="00000000" w:rsidDel="00000000" w:rsidP="00000000" w:rsidRDefault="00000000" w:rsidRPr="00000000" w14:paraId="00000104">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Stabilirea echipei si a temei </w:t>
            </w:r>
          </w:p>
          <w:p w:rsidR="00000000" w:rsidDel="00000000" w:rsidP="00000000" w:rsidRDefault="00000000" w:rsidRPr="00000000" w14:paraId="00000105">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Stabilirea tipului de proiect, a axei prioritare și a domeniului de intervenție, precum si a ghidului</w:t>
            </w:r>
          </w:p>
          <w:p w:rsidR="00000000" w:rsidDel="00000000" w:rsidP="00000000" w:rsidRDefault="00000000" w:rsidRPr="00000000" w14:paraId="00000106">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Stabilirea solicitantului, a partenerilor, regiunii/regiunilor de implementare</w:t>
            </w:r>
          </w:p>
          <w:p w:rsidR="00000000" w:rsidDel="00000000" w:rsidP="00000000" w:rsidRDefault="00000000" w:rsidRPr="00000000" w14:paraId="00000107">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Alegerea grupului țintă</w:t>
            </w:r>
          </w:p>
          <w:p w:rsidR="00000000" w:rsidDel="00000000" w:rsidP="00000000" w:rsidRDefault="00000000" w:rsidRPr="00000000" w14:paraId="00000108">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Elaborarea contextului si a justificării proiectului – stabilirea bibliografiei: strategii, programe, proiecte, cercetări, statistici.</w:t>
            </w:r>
          </w:p>
          <w:p w:rsidR="00000000" w:rsidDel="00000000" w:rsidP="00000000" w:rsidRDefault="00000000" w:rsidRPr="00000000" w14:paraId="00000109">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Formularea obiectivelor proiectului în raport cu grupul țintă și nevoile acestuia</w:t>
            </w:r>
          </w:p>
          <w:p w:rsidR="00000000" w:rsidDel="00000000" w:rsidP="00000000" w:rsidRDefault="00000000" w:rsidRPr="00000000" w14:paraId="0000010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Formularea activităților și a rezultatelor</w:t>
            </w:r>
          </w:p>
          <w:p w:rsidR="00000000" w:rsidDel="00000000" w:rsidP="00000000" w:rsidRDefault="00000000" w:rsidRPr="00000000" w14:paraId="0000010B">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Experiența relevanta a solicitantului si a partenerilor, valoarea adăugată a proiectului</w:t>
            </w:r>
          </w:p>
          <w:p w:rsidR="00000000" w:rsidDel="00000000" w:rsidP="00000000" w:rsidRDefault="00000000" w:rsidRPr="00000000" w14:paraId="0000010C">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Elaborarea metodologiei de implementare și a managementului proiectului  </w:t>
            </w:r>
          </w:p>
          <w:p w:rsidR="00000000" w:rsidDel="00000000" w:rsidP="00000000" w:rsidRDefault="00000000" w:rsidRPr="00000000" w14:paraId="0000010D">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La finalul seminarului, se vor prezenta proiectele finale. </w:t>
            </w:r>
          </w:p>
        </w:tc>
        <w:tc>
          <w:tcPr>
            <w:vAlign w:val="top"/>
          </w:tcPr>
          <w:p w:rsidR="00000000" w:rsidDel="00000000" w:rsidP="00000000" w:rsidRDefault="00000000" w:rsidRPr="00000000" w14:paraId="0000010E">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S=2h [S14]</w:t>
            </w:r>
          </w:p>
          <w:p w:rsidR="00000000" w:rsidDel="00000000" w:rsidP="00000000" w:rsidRDefault="00000000" w:rsidRPr="00000000" w14:paraId="0000010F">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SI=2h</w:t>
            </w:r>
          </w:p>
        </w:tc>
      </w:tr>
      <w:tr>
        <w:trPr>
          <w:cantSplit w:val="0"/>
          <w:trHeight w:val="376" w:hRule="atLeast"/>
          <w:tblHeader w:val="0"/>
        </w:trPr>
        <w:tc>
          <w:tcPr>
            <w:gridSpan w:val="2"/>
            <w:vAlign w:val="top"/>
          </w:tcPr>
          <w:p w:rsidR="00000000" w:rsidDel="00000000" w:rsidP="00000000" w:rsidRDefault="00000000" w:rsidRPr="00000000" w14:paraId="0000011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Total ore</w:t>
            </w:r>
            <w:r w:rsidDel="00000000" w:rsidR="00000000" w:rsidRPr="00000000">
              <w:rPr>
                <w:rtl w:val="0"/>
              </w:rPr>
            </w:r>
          </w:p>
        </w:tc>
        <w:tc>
          <w:tcPr>
            <w:vAlign w:val="top"/>
          </w:tcPr>
          <w:p w:rsidR="00000000" w:rsidDel="00000000" w:rsidP="00000000" w:rsidRDefault="00000000" w:rsidRPr="00000000" w14:paraId="00000112">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C=28h, SI=62</w:t>
            </w:r>
          </w:p>
        </w:tc>
      </w:tr>
    </w:tbl>
    <w:p w:rsidR="00000000" w:rsidDel="00000000" w:rsidP="00000000" w:rsidRDefault="00000000" w:rsidRPr="00000000" w14:paraId="00000113">
      <w:pPr>
        <w:spacing w:after="0" w:line="240" w:lineRule="auto"/>
        <w:ind w:left="720" w:firstLine="0"/>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14">
      <w:pPr>
        <w:spacing w:after="0" w:line="24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15">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117">
      <w:pPr>
        <w:spacing w:line="360" w:lineRule="auto"/>
        <w:ind w:right="-567"/>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1) Strategia didactică</w:t>
      </w:r>
      <w:r w:rsidDel="00000000" w:rsidR="00000000" w:rsidRPr="00000000">
        <w:rPr>
          <w:rFonts w:ascii="Times New Roman" w:cs="Times New Roman" w:eastAsia="Times New Roman" w:hAnsi="Times New Roman"/>
          <w:vertAlign w:val="baseline"/>
          <w:rtl w:val="0"/>
        </w:rPr>
        <w:t xml:space="preserve"> </w:t>
      </w:r>
    </w:p>
    <w:p w:rsidR="00000000" w:rsidDel="00000000" w:rsidP="00000000" w:rsidRDefault="00000000" w:rsidRPr="00000000" w14:paraId="00000118">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2) Materiale și Resurse didactice:</w:t>
      </w:r>
      <w:r w:rsidDel="00000000" w:rsidR="00000000" w:rsidRPr="00000000">
        <w:rPr>
          <w:rtl w:val="0"/>
        </w:rPr>
      </w:r>
    </w:p>
    <w:p w:rsidR="00000000" w:rsidDel="00000000" w:rsidP="00000000" w:rsidRDefault="00000000" w:rsidRPr="00000000" w14:paraId="00000119">
      <w:pPr>
        <w:spacing w:after="0" w:lineRule="auto"/>
        <w:jc w:val="both"/>
        <w:rPr>
          <w:rFonts w:ascii="Times New Roman" w:cs="Times New Roman" w:eastAsia="Times New Roman" w:hAnsi="Times New Roman"/>
          <w:vertAlign w:val="baseline"/>
        </w:rPr>
      </w:pPr>
      <w:r w:rsidDel="00000000" w:rsidR="00000000" w:rsidRPr="00000000">
        <w:rPr>
          <w:rtl w:val="0"/>
        </w:rPr>
      </w:r>
    </w:p>
    <w:tbl>
      <w:tblPr>
        <w:tblStyle w:val="Table8"/>
        <w:tblW w:w="92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88"/>
        <w:tblGridChange w:id="0">
          <w:tblGrid>
            <w:gridCol w:w="9288"/>
          </w:tblGrid>
        </w:tblGridChange>
      </w:tblGrid>
      <w:tr>
        <w:trPr>
          <w:cantSplit w:val="0"/>
          <w:tblHeader w:val="0"/>
        </w:trPr>
        <w:tc>
          <w:tcPr>
            <w:vAlign w:val="top"/>
          </w:tcPr>
          <w:p w:rsidR="00000000" w:rsidDel="00000000" w:rsidP="00000000" w:rsidRDefault="00000000" w:rsidRPr="00000000" w14:paraId="0000011A">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Conținuturile disciplinei sunt coroborate cu așteptările reprezentanților comunității epistemice si angajatorilor reprezentativi din domeniul aferent programului. Planificarea si implementarea proiectelor reprezintă una dintre competentele transversale pe care piața muncii le cere tuturor absolvenților.</w:t>
            </w:r>
          </w:p>
        </w:tc>
      </w:tr>
    </w:tbl>
    <w:p w:rsidR="00000000" w:rsidDel="00000000" w:rsidP="00000000" w:rsidRDefault="00000000" w:rsidRPr="00000000" w14:paraId="0000011B">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1C">
      <w:pPr>
        <w:spacing w:after="0" w:line="360" w:lineRule="auto"/>
        <w:ind w:right="-567"/>
        <w:jc w:val="both"/>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b w:val="1"/>
          <w:bCs w:val="1"/>
          <w:vertAlign w:val="baseline"/>
          <w:rtl w:val="0"/>
        </w:rPr>
        <w:t xml:space="preserve">E. EVALUARE</w:t>
      </w:r>
      <w:r w:rsidDel="00000000" w:rsidR="00000000" w:rsidRPr="00000000">
        <w:rPr>
          <w:rFonts w:ascii="Times New Roman" w:cs="Times New Roman" w:eastAsia="Times New Roman" w:hAnsi="Times New Roman"/>
          <w:b w:val="1"/>
          <w:bCs w:val="1"/>
          <w:vertAlign w:val="baseline"/>
          <w:rtl w:val="0"/>
        </w:rPr>
        <w:t xml:space="preserve"> </w:t>
      </w:r>
      <w:r w:rsidDel="00000000" w:rsidR="00000000" w:rsidRPr="00000000">
        <w:rPr>
          <w:rtl w:val="0"/>
        </w:rPr>
      </w:r>
    </w:p>
    <w:tbl>
      <w:tblPr>
        <w:tblStyle w:val="Table9"/>
        <w:tblW w:w="928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4"/>
        <w:gridCol w:w="2669"/>
        <w:gridCol w:w="2389"/>
        <w:gridCol w:w="2066"/>
        <w:tblGridChange w:id="0">
          <w:tblGrid>
            <w:gridCol w:w="2164"/>
            <w:gridCol w:w="2669"/>
            <w:gridCol w:w="2389"/>
            <w:gridCol w:w="2066"/>
          </w:tblGrid>
        </w:tblGridChange>
      </w:tblGrid>
      <w:tr>
        <w:trPr>
          <w:cantSplit w:val="0"/>
          <w:tblHeader w:val="0"/>
        </w:trPr>
        <w:tc>
          <w:tcPr>
            <w:vAlign w:val="top"/>
          </w:tcPr>
          <w:p w:rsidR="00000000" w:rsidDel="00000000" w:rsidP="00000000" w:rsidRDefault="00000000" w:rsidRPr="00000000" w14:paraId="0000011D">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Tip activitate</w:t>
            </w:r>
          </w:p>
        </w:tc>
        <w:tc>
          <w:tcPr>
            <w:vAlign w:val="top"/>
          </w:tcPr>
          <w:p w:rsidR="00000000" w:rsidDel="00000000" w:rsidP="00000000" w:rsidRDefault="00000000" w:rsidRPr="00000000" w14:paraId="0000011E">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10.1. Criterii de evaluare</w:t>
            </w:r>
          </w:p>
        </w:tc>
        <w:tc>
          <w:tcPr>
            <w:vAlign w:val="top"/>
          </w:tcPr>
          <w:p w:rsidR="00000000" w:rsidDel="00000000" w:rsidP="00000000" w:rsidRDefault="00000000" w:rsidRPr="00000000" w14:paraId="0000011F">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10.2. Metode de evaluare</w:t>
            </w:r>
          </w:p>
        </w:tc>
        <w:tc>
          <w:tcPr>
            <w:vAlign w:val="top"/>
          </w:tcPr>
          <w:p w:rsidR="00000000" w:rsidDel="00000000" w:rsidP="00000000" w:rsidRDefault="00000000" w:rsidRPr="00000000" w14:paraId="00000120">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10.3. Pondere din nota finală</w:t>
            </w:r>
          </w:p>
        </w:tc>
      </w:tr>
      <w:tr>
        <w:trPr>
          <w:cantSplit w:val="0"/>
          <w:tblHeader w:val="0"/>
        </w:trPr>
        <w:tc>
          <w:tcPr>
            <w:vAlign w:val="top"/>
          </w:tcPr>
          <w:p w:rsidR="00000000" w:rsidDel="00000000" w:rsidP="00000000" w:rsidRDefault="00000000" w:rsidRPr="00000000" w14:paraId="00000121">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test pe parcursul semestrului</w:t>
            </w:r>
          </w:p>
        </w:tc>
        <w:tc>
          <w:tcPr>
            <w:vAlign w:val="top"/>
          </w:tcPr>
          <w:p w:rsidR="00000000" w:rsidDel="00000000" w:rsidP="00000000" w:rsidRDefault="00000000" w:rsidRPr="00000000" w14:paraId="00000122">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rezolvarea corecta a subiectelor</w:t>
            </w:r>
          </w:p>
          <w:p w:rsidR="00000000" w:rsidDel="00000000" w:rsidP="00000000" w:rsidRDefault="00000000" w:rsidRPr="00000000" w14:paraId="00000123">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calitatea argumentării</w:t>
            </w:r>
          </w:p>
          <w:p w:rsidR="00000000" w:rsidDel="00000000" w:rsidP="00000000" w:rsidRDefault="00000000" w:rsidRPr="00000000" w14:paraId="00000124">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capacitatea de a aplica cunoștințele teoretice</w:t>
            </w:r>
          </w:p>
        </w:tc>
        <w:tc>
          <w:tcPr>
            <w:vAlign w:val="top"/>
          </w:tcPr>
          <w:p w:rsidR="00000000" w:rsidDel="00000000" w:rsidP="00000000" w:rsidRDefault="00000000" w:rsidRPr="00000000" w14:paraId="00000125">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corectare teste/ proiecte individuale si de echipa</w:t>
            </w:r>
          </w:p>
        </w:tc>
        <w:tc>
          <w:tcPr>
            <w:vAlign w:val="top"/>
          </w:tcPr>
          <w:p w:rsidR="00000000" w:rsidDel="00000000" w:rsidP="00000000" w:rsidRDefault="00000000" w:rsidRPr="00000000" w14:paraId="00000126">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20%</w:t>
            </w:r>
          </w:p>
        </w:tc>
      </w:tr>
      <w:tr>
        <w:trPr>
          <w:cantSplit w:val="0"/>
          <w:tblHeader w:val="0"/>
        </w:trPr>
        <w:tc>
          <w:tcPr>
            <w:vAlign w:val="top"/>
          </w:tcPr>
          <w:p w:rsidR="00000000" w:rsidDel="00000000" w:rsidP="00000000" w:rsidRDefault="00000000" w:rsidRPr="00000000" w14:paraId="00000127">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activităţi aplicative atestate / laborator / lucrări practice/proiect</w:t>
            </w:r>
          </w:p>
        </w:tc>
        <w:tc>
          <w:tcPr>
            <w:vAlign w:val="top"/>
          </w:tcPr>
          <w:p w:rsidR="00000000" w:rsidDel="00000000" w:rsidP="00000000" w:rsidRDefault="00000000" w:rsidRPr="00000000" w14:paraId="00000128">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-dezvoltarea a două proiecte de realizare a unei aplicații pentru o linie de finanțare</w:t>
            </w:r>
          </w:p>
        </w:tc>
        <w:tc>
          <w:tcPr>
            <w:vAlign w:val="top"/>
          </w:tcPr>
          <w:p w:rsidR="00000000" w:rsidDel="00000000" w:rsidP="00000000" w:rsidRDefault="00000000" w:rsidRPr="00000000" w14:paraId="00000129">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îndeplinirea condițiilor prevăzute în ghidul aplicantului</w:t>
            </w:r>
          </w:p>
        </w:tc>
        <w:tc>
          <w:tcPr>
            <w:vAlign w:val="top"/>
          </w:tcPr>
          <w:p w:rsidR="00000000" w:rsidDel="00000000" w:rsidP="00000000" w:rsidRDefault="00000000" w:rsidRPr="00000000" w14:paraId="0000012A">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80%</w:t>
            </w:r>
          </w:p>
        </w:tc>
      </w:tr>
      <w:tr>
        <w:trPr>
          <w:cantSplit w:val="0"/>
          <w:tblHeader w:val="0"/>
        </w:trPr>
        <w:tc>
          <w:tcPr>
            <w:gridSpan w:val="4"/>
            <w:vAlign w:val="top"/>
          </w:tcPr>
          <w:p w:rsidR="00000000" w:rsidDel="00000000" w:rsidP="00000000" w:rsidRDefault="00000000" w:rsidRPr="00000000" w14:paraId="0000012B">
            <w:pPr>
              <w:spacing w:after="0" w:line="240" w:lineRule="auto"/>
              <w:jc w:val="both"/>
              <w:rPr>
                <w:rFonts w:ascii="Times New Roman" w:cs="Times New Roman" w:eastAsia="Times New Roman" w:hAnsi="Times New Roman"/>
                <w:i w:val="0"/>
                <w:iCs w:val="0"/>
                <w:vertAlign w:val="baseline"/>
              </w:rPr>
            </w:pPr>
            <w:r w:rsidDel="00000000" w:rsidR="00000000" w:rsidRPr="00000000">
              <w:rPr>
                <w:rFonts w:ascii="Times New Roman" w:cs="Times New Roman" w:eastAsia="Times New Roman" w:hAnsi="Times New Roman"/>
                <w:i w:val="1"/>
                <w:iCs w:val="1"/>
                <w:vertAlign w:val="baseline"/>
                <w:rtl w:val="0"/>
              </w:rPr>
              <w:t xml:space="preserve">10.6. Standard minim de performanță: </w:t>
            </w:r>
            <w:r w:rsidDel="00000000" w:rsidR="00000000" w:rsidRPr="00000000">
              <w:rPr>
                <w:rtl w:val="0"/>
              </w:rPr>
            </w:r>
          </w:p>
        </w:tc>
      </w:tr>
      <w:tr>
        <w:trPr>
          <w:cantSplit w:val="0"/>
          <w:tblHeader w:val="0"/>
        </w:trPr>
        <w:tc>
          <w:tcPr>
            <w:gridSpan w:val="4"/>
            <w:vAlign w:val="top"/>
          </w:tcPr>
          <w:p w:rsidR="00000000" w:rsidDel="00000000" w:rsidP="00000000" w:rsidRDefault="00000000" w:rsidRPr="00000000" w14:paraId="0000012F">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Minim (media 5)</w:t>
            </w:r>
            <w:r w:rsidDel="00000000" w:rsidR="00000000" w:rsidRPr="00000000">
              <w:rPr>
                <w:rtl w:val="0"/>
              </w:rPr>
            </w:r>
          </w:p>
          <w:p w:rsidR="00000000" w:rsidDel="00000000" w:rsidP="00000000" w:rsidRDefault="00000000" w:rsidRPr="00000000" w14:paraId="00000130">
            <w:pPr>
              <w:numPr>
                <w:ilvl w:val="0"/>
                <w:numId w:val="3"/>
              </w:numPr>
              <w:spacing w:after="0" w:line="240" w:lineRule="auto"/>
              <w:ind w:left="0" w:hanging="360"/>
              <w:jc w:val="both"/>
              <w:rPr>
                <w:vertAlign w:val="baseline"/>
              </w:rPr>
            </w:pPr>
            <w:r w:rsidDel="00000000" w:rsidR="00000000" w:rsidRPr="00000000">
              <w:rPr>
                <w:rFonts w:ascii="Times New Roman" w:cs="Times New Roman" w:eastAsia="Times New Roman" w:hAnsi="Times New Roman"/>
                <w:vertAlign w:val="baseline"/>
                <w:rtl w:val="0"/>
              </w:rPr>
              <w:t xml:space="preserve">Utilizarea adecvată a următorilor termeni: axa prioritara, solicitant, partener, grup țintă, activități eligibile, managementul proiectului, indicatori, cash-flow, contract de finanțare.   </w:t>
            </w:r>
          </w:p>
          <w:p w:rsidR="00000000" w:rsidDel="00000000" w:rsidP="00000000" w:rsidRDefault="00000000" w:rsidRPr="00000000" w14:paraId="00000131">
            <w:pPr>
              <w:numPr>
                <w:ilvl w:val="0"/>
                <w:numId w:val="3"/>
              </w:numPr>
              <w:spacing w:after="0" w:line="240" w:lineRule="auto"/>
              <w:ind w:left="0" w:hanging="360"/>
              <w:jc w:val="both"/>
              <w:rPr>
                <w:vertAlign w:val="baseline"/>
              </w:rPr>
            </w:pPr>
            <w:r w:rsidDel="00000000" w:rsidR="00000000" w:rsidRPr="00000000">
              <w:rPr>
                <w:rFonts w:ascii="Times New Roman" w:cs="Times New Roman" w:eastAsia="Times New Roman" w:hAnsi="Times New Roman"/>
                <w:vertAlign w:val="baseline"/>
                <w:rtl w:val="0"/>
              </w:rPr>
              <w:t xml:space="preserve">Capacitatea de a folosi instrumentele teoretice pentru a scrie un proiect de finanțare care să conțină peste 70% din componentele uzuale și să respecte cerințele minime de coerența. </w:t>
            </w:r>
          </w:p>
          <w:p w:rsidR="00000000" w:rsidDel="00000000" w:rsidP="00000000" w:rsidRDefault="00000000" w:rsidRPr="00000000" w14:paraId="00000132">
            <w:pPr>
              <w:spacing w:after="0" w:line="24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33">
            <w:pPr>
              <w:spacing w:after="0" w:line="24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Maxim (media 10)</w:t>
            </w:r>
            <w:r w:rsidDel="00000000" w:rsidR="00000000" w:rsidRPr="00000000">
              <w:rPr>
                <w:rtl w:val="0"/>
              </w:rPr>
            </w:r>
          </w:p>
          <w:p w:rsidR="00000000" w:rsidDel="00000000" w:rsidP="00000000" w:rsidRDefault="00000000" w:rsidRPr="00000000" w14:paraId="00000134">
            <w:pPr>
              <w:numPr>
                <w:ilvl w:val="0"/>
                <w:numId w:val="3"/>
              </w:numPr>
              <w:spacing w:after="0" w:line="240" w:lineRule="auto"/>
              <w:ind w:left="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Înțelegerea și utilizarea adecvată a următoarelor concepte/termeni: axa prioritara, domeniu major de intervenție, beneficiar, solicitant, partener, grup țintă, activități si sub-activități eligibile, metodologie de implementare, managementul proiectului, indicatori, cash-flow, contract de finanțare. Capacitatea de a utiliza acești termeni/concepte pentru  interpretarea unor situații socio-politice concrete.</w:t>
            </w:r>
          </w:p>
          <w:p w:rsidR="00000000" w:rsidDel="00000000" w:rsidP="00000000" w:rsidRDefault="00000000" w:rsidRPr="00000000" w14:paraId="00000135">
            <w:pPr>
              <w:numPr>
                <w:ilvl w:val="0"/>
                <w:numId w:val="3"/>
              </w:numPr>
              <w:spacing w:after="0" w:line="240" w:lineRule="auto"/>
              <w:ind w:left="0" w:hanging="360"/>
              <w:jc w:val="both"/>
              <w:rPr>
                <w:i w:val="0"/>
                <w:iCs w:val="0"/>
                <w:vertAlign w:val="baseline"/>
              </w:rPr>
            </w:pPr>
            <w:r w:rsidDel="00000000" w:rsidR="00000000" w:rsidRPr="00000000">
              <w:rPr>
                <w:rFonts w:ascii="Times New Roman" w:cs="Times New Roman" w:eastAsia="Times New Roman" w:hAnsi="Times New Roman"/>
                <w:vertAlign w:val="baseline"/>
                <w:rtl w:val="0"/>
              </w:rPr>
              <w:t xml:space="preserve">Utilizarea de abordări instituționaliste, raționaliste și sociologice cu privire la implementarea politicilor publice.</w:t>
            </w:r>
            <w:r w:rsidDel="00000000" w:rsidR="00000000" w:rsidRPr="00000000">
              <w:rPr>
                <w:rtl w:val="0"/>
              </w:rPr>
            </w:r>
          </w:p>
          <w:p w:rsidR="00000000" w:rsidDel="00000000" w:rsidP="00000000" w:rsidRDefault="00000000" w:rsidRPr="00000000" w14:paraId="00000136">
            <w:pPr>
              <w:numPr>
                <w:ilvl w:val="0"/>
                <w:numId w:val="3"/>
              </w:numPr>
              <w:spacing w:after="0" w:line="240" w:lineRule="auto"/>
              <w:ind w:left="0" w:hanging="360"/>
              <w:jc w:val="both"/>
              <w:rPr>
                <w:vertAlign w:val="baseline"/>
              </w:rPr>
            </w:pPr>
            <w:r w:rsidDel="00000000" w:rsidR="00000000" w:rsidRPr="00000000">
              <w:rPr>
                <w:rFonts w:ascii="Times New Roman" w:cs="Times New Roman" w:eastAsia="Times New Roman" w:hAnsi="Times New Roman"/>
                <w:vertAlign w:val="baseline"/>
                <w:rtl w:val="0"/>
              </w:rPr>
              <w:t xml:space="preserve">Capacitatea de a folosi instrumentele teoretice pentru a scrie un proiect de finanțare care să conțină toate componentele uzuale și care să aibă un grad mare de coerența între secțiunile lui. </w:t>
            </w:r>
          </w:p>
        </w:tc>
      </w:tr>
      <w:tr>
        <w:trPr>
          <w:cantSplit w:val="0"/>
          <w:tblHeader w:val="0"/>
        </w:trPr>
        <w:tc>
          <w:tcPr>
            <w:gridSpan w:val="4"/>
            <w:vAlign w:val="top"/>
          </w:tcPr>
          <w:p w:rsidR="00000000" w:rsidDel="00000000" w:rsidP="00000000" w:rsidRDefault="00000000" w:rsidRPr="00000000" w14:paraId="0000013A">
            <w:pPr>
              <w:spacing w:after="0" w:line="240" w:lineRule="auto"/>
              <w:jc w:val="both"/>
              <w:rPr>
                <w:rFonts w:ascii="Times New Roman" w:cs="Times New Roman" w:eastAsia="Times New Roman" w:hAnsi="Times New Roman"/>
                <w:i w:val="0"/>
                <w:iCs w:val="0"/>
                <w:vertAlign w:val="baseline"/>
              </w:rPr>
            </w:pPr>
            <w:r w:rsidDel="00000000" w:rsidR="00000000" w:rsidRPr="00000000">
              <w:rPr>
                <w:rtl w:val="0"/>
              </w:rPr>
            </w:r>
          </w:p>
        </w:tc>
      </w:tr>
    </w:tbl>
    <w:p w:rsidR="00000000" w:rsidDel="00000000" w:rsidP="00000000" w:rsidRDefault="00000000" w:rsidRPr="00000000" w14:paraId="0000013E">
      <w:pPr>
        <w:spacing w:after="0" w:lineRule="auto"/>
        <w:jc w:val="both"/>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13F">
      <w:pPr>
        <w:spacing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bCs w:val="1"/>
          <w:vertAlign w:val="baseline"/>
          <w:rtl w:val="0"/>
        </w:rPr>
        <w:t xml:space="preserve">G. BIBLIOGRAFIE</w:t>
      </w:r>
      <w:r w:rsidDel="00000000" w:rsidR="00000000" w:rsidRPr="00000000">
        <w:rPr>
          <w:rtl w:val="0"/>
        </w:rPr>
      </w:r>
    </w:p>
    <w:tbl>
      <w:tblPr>
        <w:tblStyle w:val="Table10"/>
        <w:tblW w:w="9781.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81"/>
        <w:tblGridChange w:id="0">
          <w:tblGrid>
            <w:gridCol w:w="9781"/>
          </w:tblGrid>
        </w:tblGridChange>
      </w:tblGrid>
      <w:tr>
        <w:trPr>
          <w:cantSplit w:val="0"/>
          <w:tblHeader w:val="0"/>
        </w:trPr>
        <w:tc>
          <w:tcPr>
            <w:vAlign w:val="top"/>
          </w:tcPr>
          <w:p w:rsidR="00000000" w:rsidDel="00000000" w:rsidP="00000000" w:rsidRDefault="00000000" w:rsidRPr="00000000" w14:paraId="00000140">
            <w:pPr>
              <w:spacing w:after="0" w:lineRule="auto"/>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Bibliografie:</w:t>
            </w:r>
          </w:p>
          <w:p w:rsidR="00000000" w:rsidDel="00000000" w:rsidP="00000000" w:rsidRDefault="00000000" w:rsidRPr="00000000" w14:paraId="00000141">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Chapin, Paul. 2004. </w:t>
            </w:r>
            <w:r w:rsidDel="00000000" w:rsidR="00000000" w:rsidRPr="00000000">
              <w:rPr>
                <w:rFonts w:ascii="Times New Roman" w:cs="Times New Roman" w:eastAsia="Times New Roman" w:hAnsi="Times New Roman"/>
                <w:i w:val="1"/>
                <w:iCs w:val="1"/>
                <w:vertAlign w:val="baseline"/>
                <w:rtl w:val="0"/>
              </w:rPr>
              <w:t xml:space="preserve">Research Projects and Research Proposals</w:t>
            </w:r>
            <w:r w:rsidDel="00000000" w:rsidR="00000000" w:rsidRPr="00000000">
              <w:rPr>
                <w:rFonts w:ascii="Times New Roman" w:cs="Times New Roman" w:eastAsia="Times New Roman" w:hAnsi="Times New Roman"/>
                <w:vertAlign w:val="baseline"/>
                <w:rtl w:val="0"/>
              </w:rPr>
              <w:t xml:space="preserve">. New York: Cambridge University Press</w:t>
            </w:r>
          </w:p>
          <w:p w:rsidR="00000000" w:rsidDel="00000000" w:rsidP="00000000" w:rsidRDefault="00000000" w:rsidRPr="00000000" w14:paraId="00000142">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Coșescu M. 2013. ”Împărțirea resurselor comune: cooperare, parteneriate, competiție și comportament oprtunist în accesarea finanțărilor POSDRU pentru școlile doctorale”</w:t>
            </w:r>
            <w:r w:rsidDel="00000000" w:rsidR="00000000" w:rsidRPr="00000000">
              <w:rPr>
                <w:rFonts w:ascii="Times New Roman" w:cs="Times New Roman" w:eastAsia="Times New Roman" w:hAnsi="Times New Roman"/>
                <w:i w:val="1"/>
                <w:iCs w:val="1"/>
                <w:vertAlign w:val="baseline"/>
                <w:rtl w:val="0"/>
              </w:rPr>
              <w:t xml:space="preserve">.</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i w:val="1"/>
                <w:iCs w:val="1"/>
                <w:vertAlign w:val="baseline"/>
                <w:rtl w:val="0"/>
              </w:rPr>
              <w:t xml:space="preserve">Quality Assurance Review for Higher Education</w:t>
            </w:r>
            <w:r w:rsidDel="00000000" w:rsidR="00000000" w:rsidRPr="00000000">
              <w:rPr>
                <w:rFonts w:ascii="Times New Roman" w:cs="Times New Roman" w:eastAsia="Times New Roman" w:hAnsi="Times New Roman"/>
                <w:vertAlign w:val="baseline"/>
                <w:rtl w:val="0"/>
              </w:rPr>
              <w:t xml:space="preserve">, Vol. 5, Nr. 1-2,  pp. 59-81.</w:t>
            </w:r>
          </w:p>
          <w:p w:rsidR="00000000" w:rsidDel="00000000" w:rsidP="00000000" w:rsidRDefault="00000000" w:rsidRPr="00000000" w14:paraId="00000143">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Cace, Corina, Victor Nicolaescu, Sorin Cace, and Cristina Iova .2009. “Absorption Capacity of the Structural Funds. Integrating Perspectives”. </w:t>
            </w:r>
            <w:r w:rsidDel="00000000" w:rsidR="00000000" w:rsidRPr="00000000">
              <w:rPr>
                <w:rFonts w:ascii="Times New Roman" w:cs="Times New Roman" w:eastAsia="Times New Roman" w:hAnsi="Times New Roman"/>
                <w:i w:val="1"/>
                <w:iCs w:val="1"/>
                <w:vertAlign w:val="baseline"/>
                <w:rtl w:val="0"/>
              </w:rPr>
              <w:t xml:space="preserve">Revista de Cercetare si Interventie Sociala</w:t>
            </w:r>
            <w:r w:rsidDel="00000000" w:rsidR="00000000" w:rsidRPr="00000000">
              <w:rPr>
                <w:rFonts w:ascii="Times New Roman" w:cs="Times New Roman" w:eastAsia="Times New Roman" w:hAnsi="Times New Roman"/>
                <w:vertAlign w:val="baseline"/>
                <w:rtl w:val="0"/>
              </w:rPr>
              <w:t xml:space="preserve"> no. 27, Iasi, 7–28.</w:t>
            </w:r>
          </w:p>
          <w:p w:rsidR="00000000" w:rsidDel="00000000" w:rsidP="00000000" w:rsidRDefault="00000000" w:rsidRPr="00000000" w14:paraId="00000144">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Cace, Corina, Victor Nicolaescu, Sorin Cace, and Cristina Iova .2010. “Capacity of Phare and Structural Funds Absorption: Pre-Accession versus Post-Accession.” </w:t>
            </w:r>
            <w:r w:rsidDel="00000000" w:rsidR="00000000" w:rsidRPr="00000000">
              <w:rPr>
                <w:rFonts w:ascii="Times New Roman" w:cs="Times New Roman" w:eastAsia="Times New Roman" w:hAnsi="Times New Roman"/>
                <w:i w:val="1"/>
                <w:iCs w:val="1"/>
                <w:vertAlign w:val="baseline"/>
                <w:rtl w:val="0"/>
              </w:rPr>
              <w:t xml:space="preserve">Revista de Cercetare si Interventie Sociala,</w:t>
            </w:r>
            <w:r w:rsidDel="00000000" w:rsidR="00000000" w:rsidRPr="00000000">
              <w:rPr>
                <w:rFonts w:ascii="Times New Roman" w:cs="Times New Roman" w:eastAsia="Times New Roman" w:hAnsi="Times New Roman"/>
                <w:vertAlign w:val="baseline"/>
                <w:rtl w:val="0"/>
              </w:rPr>
              <w:t xml:space="preserve"> 28, Iasi, 78–96</w:t>
            </w:r>
          </w:p>
          <w:p w:rsidR="00000000" w:rsidDel="00000000" w:rsidP="00000000" w:rsidRDefault="00000000" w:rsidRPr="00000000" w14:paraId="00000145">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Dąbrowski Marcin .2008. “Structural funds as a driver for institutional change in Poland”. </w:t>
            </w:r>
            <w:r w:rsidDel="00000000" w:rsidR="00000000" w:rsidRPr="00000000">
              <w:rPr>
                <w:rFonts w:ascii="Times New Roman" w:cs="Times New Roman" w:eastAsia="Times New Roman" w:hAnsi="Times New Roman"/>
                <w:i w:val="1"/>
                <w:iCs w:val="1"/>
                <w:vertAlign w:val="baseline"/>
                <w:rtl w:val="0"/>
              </w:rPr>
              <w:t xml:space="preserve"> Europe-Asia Studies</w:t>
            </w:r>
            <w:r w:rsidDel="00000000" w:rsidR="00000000" w:rsidRPr="00000000">
              <w:rPr>
                <w:rFonts w:ascii="Times New Roman" w:cs="Times New Roman" w:eastAsia="Times New Roman" w:hAnsi="Times New Roman"/>
                <w:vertAlign w:val="baseline"/>
                <w:rtl w:val="0"/>
              </w:rPr>
              <w:t xml:space="preserve">, 60:2, 227-248</w:t>
            </w:r>
          </w:p>
          <w:p w:rsidR="00000000" w:rsidDel="00000000" w:rsidP="00000000" w:rsidRDefault="00000000" w:rsidRPr="00000000" w14:paraId="00000146">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Dimitrova, A. L. and L. Rhinard. 2005.  “The Power of Norms in the Transposition of EU Directives”. </w:t>
            </w:r>
            <w:r w:rsidDel="00000000" w:rsidR="00000000" w:rsidRPr="00000000">
              <w:rPr>
                <w:rFonts w:ascii="Times New Roman" w:cs="Times New Roman" w:eastAsia="Times New Roman" w:hAnsi="Times New Roman"/>
                <w:i w:val="1"/>
                <w:iCs w:val="1"/>
                <w:vertAlign w:val="baseline"/>
                <w:rtl w:val="0"/>
              </w:rPr>
              <w:t xml:space="preserve"> European Integration Online Papers</w:t>
            </w:r>
            <w:r w:rsidDel="00000000" w:rsidR="00000000" w:rsidRPr="00000000">
              <w:rPr>
                <w:rFonts w:ascii="Times New Roman" w:cs="Times New Roman" w:eastAsia="Times New Roman" w:hAnsi="Times New Roman"/>
                <w:vertAlign w:val="baseline"/>
                <w:rtl w:val="0"/>
              </w:rPr>
              <w:t xml:space="preserve">, Vol. 9, No. 16.</w:t>
            </w:r>
          </w:p>
          <w:p w:rsidR="00000000" w:rsidDel="00000000" w:rsidP="00000000" w:rsidRDefault="00000000" w:rsidRPr="00000000" w14:paraId="00000147">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Dvorak, Jaroslav. 2010. “Evaluation of the European Union Structural Funds’ Support in Poland: Scope and Significance.” In </w:t>
            </w:r>
            <w:r w:rsidDel="00000000" w:rsidR="00000000" w:rsidRPr="00000000">
              <w:rPr>
                <w:rFonts w:ascii="Times New Roman" w:cs="Times New Roman" w:eastAsia="Times New Roman" w:hAnsi="Times New Roman"/>
                <w:i w:val="1"/>
                <w:iCs w:val="1"/>
                <w:vertAlign w:val="baseline"/>
                <w:rtl w:val="0"/>
              </w:rPr>
              <w:t xml:space="preserve">Baltic Journal of Law &amp; Politics</w:t>
            </w:r>
            <w:r w:rsidDel="00000000" w:rsidR="00000000" w:rsidRPr="00000000">
              <w:rPr>
                <w:rFonts w:ascii="Times New Roman" w:cs="Times New Roman" w:eastAsia="Times New Roman" w:hAnsi="Times New Roman"/>
                <w:vertAlign w:val="baseline"/>
                <w:rtl w:val="0"/>
              </w:rPr>
              <w:t xml:space="preserve"> 3 (1).</w:t>
            </w:r>
          </w:p>
          <w:p w:rsidR="00000000" w:rsidDel="00000000" w:rsidP="00000000" w:rsidRDefault="00000000" w:rsidRPr="00000000" w14:paraId="00000148">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Ferry, M. &amp; I. McMaster .2005. ‘Implementing Structural Funds in Polish and Czech Regions: Convergence, Variation, Empowerment?’. </w:t>
            </w:r>
            <w:r w:rsidDel="00000000" w:rsidR="00000000" w:rsidRPr="00000000">
              <w:rPr>
                <w:rFonts w:ascii="Times New Roman" w:cs="Times New Roman" w:eastAsia="Times New Roman" w:hAnsi="Times New Roman"/>
                <w:i w:val="1"/>
                <w:iCs w:val="1"/>
                <w:vertAlign w:val="baseline"/>
                <w:rtl w:val="0"/>
              </w:rPr>
              <w:t xml:space="preserve">Regional and Federal Studies</w:t>
            </w:r>
            <w:r w:rsidDel="00000000" w:rsidR="00000000" w:rsidRPr="00000000">
              <w:rPr>
                <w:rFonts w:ascii="Times New Roman" w:cs="Times New Roman" w:eastAsia="Times New Roman" w:hAnsi="Times New Roman"/>
                <w:vertAlign w:val="baseline"/>
                <w:rtl w:val="0"/>
              </w:rPr>
              <w:t xml:space="preserve">, 15, 1, pp. 19 – 39.</w:t>
            </w:r>
          </w:p>
          <w:p w:rsidR="00000000" w:rsidDel="00000000" w:rsidP="00000000" w:rsidRDefault="00000000" w:rsidRPr="00000000" w14:paraId="00000149">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color w:val="231f20"/>
                <w:vertAlign w:val="baseline"/>
                <w:rtl w:val="0"/>
              </w:rPr>
              <w:t xml:space="preserve">Ferry, M., F. Gross, J. Bachtler, I. McMaster .2007. „Turning Strategies into Projects: The implementation of 2017-2013 Structural Funds Programme”. In </w:t>
            </w:r>
            <w:r w:rsidDel="00000000" w:rsidR="00000000" w:rsidRPr="00000000">
              <w:rPr>
                <w:rFonts w:ascii="Times New Roman" w:cs="Times New Roman" w:eastAsia="Times New Roman" w:hAnsi="Times New Roman"/>
                <w:i w:val="1"/>
                <w:iCs w:val="1"/>
                <w:color w:val="231f20"/>
                <w:vertAlign w:val="baseline"/>
                <w:rtl w:val="0"/>
              </w:rPr>
              <w:t xml:space="preserve">IQ-Net Thematic Paper</w:t>
            </w:r>
            <w:r w:rsidDel="00000000" w:rsidR="00000000" w:rsidRPr="00000000">
              <w:rPr>
                <w:rFonts w:ascii="Times New Roman" w:cs="Times New Roman" w:eastAsia="Times New Roman" w:hAnsi="Times New Roman"/>
                <w:color w:val="231f20"/>
                <w:vertAlign w:val="baseline"/>
                <w:rtl w:val="0"/>
              </w:rPr>
              <w:t xml:space="preserve">, No 20(2) Glasgow: European Policies Research</w:t>
            </w:r>
            <w:r w:rsidDel="00000000" w:rsidR="00000000" w:rsidRPr="00000000">
              <w:rPr>
                <w:rtl w:val="0"/>
              </w:rPr>
            </w:r>
          </w:p>
          <w:p w:rsidR="00000000" w:rsidDel="00000000" w:rsidP="00000000" w:rsidRDefault="00000000" w:rsidRPr="00000000" w14:paraId="0000014A">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Guvernul Romaniei. 2011. </w:t>
            </w:r>
            <w:r w:rsidDel="00000000" w:rsidR="00000000" w:rsidRPr="00000000">
              <w:rPr>
                <w:rFonts w:ascii="Times New Roman" w:cs="Times New Roman" w:eastAsia="Times New Roman" w:hAnsi="Times New Roman"/>
                <w:i w:val="1"/>
                <w:iCs w:val="1"/>
                <w:vertAlign w:val="baseline"/>
                <w:rtl w:val="0"/>
              </w:rPr>
              <w:t xml:space="preserve">Manual de pregatire şi gestionare a proiectelor finanţate din instrumente structurale</w:t>
            </w:r>
            <w:r w:rsidDel="00000000" w:rsidR="00000000" w:rsidRPr="00000000">
              <w:rPr>
                <w:rtl w:val="0"/>
              </w:rPr>
            </w:r>
          </w:p>
          <w:p w:rsidR="00000000" w:rsidDel="00000000" w:rsidP="00000000" w:rsidRDefault="00000000" w:rsidRPr="00000000" w14:paraId="0000014B">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Jora, Lucian. 2014. “EU Regional Development Policies Applied In Romania, Between Theory And Practice. The Case Of Human Resources Development Dedicated Structural Funds.” </w:t>
            </w:r>
            <w:r w:rsidDel="00000000" w:rsidR="00000000" w:rsidRPr="00000000">
              <w:rPr>
                <w:rFonts w:ascii="Times New Roman" w:cs="Times New Roman" w:eastAsia="Times New Roman" w:hAnsi="Times New Roman"/>
                <w:i w:val="1"/>
                <w:iCs w:val="1"/>
                <w:vertAlign w:val="baseline"/>
                <w:rtl w:val="0"/>
              </w:rPr>
              <w:t xml:space="preserve">Euroregional Journal Of Socio-Economic Analysis</w:t>
            </w:r>
            <w:r w:rsidDel="00000000" w:rsidR="00000000" w:rsidRPr="00000000">
              <w:rPr>
                <w:rFonts w:ascii="Times New Roman" w:cs="Times New Roman" w:eastAsia="Times New Roman" w:hAnsi="Times New Roman"/>
                <w:vertAlign w:val="baseline"/>
                <w:rtl w:val="0"/>
              </w:rPr>
              <w:t xml:space="preserve">, pp. 13-21</w:t>
            </w:r>
          </w:p>
          <w:p w:rsidR="00000000" w:rsidDel="00000000" w:rsidP="00000000" w:rsidRDefault="00000000" w:rsidRPr="00000000" w14:paraId="0000014C">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Miroiu, Adrian, Rădoi, Mireille, Zulean, Marian </w:t>
            </w:r>
            <w:r w:rsidDel="00000000" w:rsidR="00000000" w:rsidRPr="00000000">
              <w:rPr>
                <w:rFonts w:ascii="Times New Roman" w:cs="Times New Roman" w:eastAsia="Times New Roman" w:hAnsi="Times New Roman"/>
                <w:i w:val="1"/>
                <w:iCs w:val="1"/>
                <w:vertAlign w:val="baseline"/>
                <w:rtl w:val="0"/>
              </w:rPr>
              <w:t xml:space="preserve">Analiza Politicilor Publice</w:t>
            </w:r>
            <w:r w:rsidDel="00000000" w:rsidR="00000000" w:rsidRPr="00000000">
              <w:rPr>
                <w:rFonts w:ascii="Times New Roman" w:cs="Times New Roman" w:eastAsia="Times New Roman" w:hAnsi="Times New Roman"/>
                <w:vertAlign w:val="baseline"/>
                <w:rtl w:val="0"/>
              </w:rPr>
              <w:t xml:space="preserve">, Editura Politeia, București 2002.</w:t>
            </w:r>
          </w:p>
          <w:p w:rsidR="00000000" w:rsidDel="00000000" w:rsidP="00000000" w:rsidRDefault="00000000" w:rsidRPr="00000000" w14:paraId="0000014D">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Project Management Institute. 2008. A Guide to the Project Management Body of Knowledge(PMBOK Guide). 4th edition</w:t>
            </w:r>
          </w:p>
          <w:p w:rsidR="00000000" w:rsidDel="00000000" w:rsidP="00000000" w:rsidRDefault="00000000" w:rsidRPr="00000000" w14:paraId="0000014E">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Radaelli, C. M. 2003. 'The Europeanization of Public Policies'. In K. Featherstone &amp; C. Radaelli (eds.), </w:t>
            </w:r>
            <w:r w:rsidDel="00000000" w:rsidR="00000000" w:rsidRPr="00000000">
              <w:rPr>
                <w:rFonts w:ascii="Times New Roman" w:cs="Times New Roman" w:eastAsia="Times New Roman" w:hAnsi="Times New Roman"/>
                <w:i w:val="1"/>
                <w:iCs w:val="1"/>
                <w:vertAlign w:val="baseline"/>
                <w:rtl w:val="0"/>
              </w:rPr>
              <w:t xml:space="preserve">The Politics of Europeanization</w:t>
            </w:r>
            <w:r w:rsidDel="00000000" w:rsidR="00000000" w:rsidRPr="00000000">
              <w:rPr>
                <w:rFonts w:ascii="Times New Roman" w:cs="Times New Roman" w:eastAsia="Times New Roman" w:hAnsi="Times New Roman"/>
                <w:vertAlign w:val="baseline"/>
                <w:rtl w:val="0"/>
              </w:rPr>
              <w:t xml:space="preserve">, Oxford: Oxford University Press, 27-56.</w:t>
            </w:r>
          </w:p>
          <w:p w:rsidR="00000000" w:rsidDel="00000000" w:rsidP="00000000" w:rsidRDefault="00000000" w:rsidRPr="00000000" w14:paraId="0000014F">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Păunescu, Mihai (ed), </w:t>
            </w:r>
            <w:r w:rsidDel="00000000" w:rsidR="00000000" w:rsidRPr="00000000">
              <w:rPr>
                <w:rFonts w:ascii="Times New Roman" w:cs="Times New Roman" w:eastAsia="Times New Roman" w:hAnsi="Times New Roman"/>
                <w:i w:val="1"/>
                <w:iCs w:val="1"/>
                <w:vertAlign w:val="baseline"/>
                <w:rtl w:val="0"/>
              </w:rPr>
              <w:t xml:space="preserve">Managementul Public în România</w:t>
            </w:r>
            <w:r w:rsidDel="00000000" w:rsidR="00000000" w:rsidRPr="00000000">
              <w:rPr>
                <w:rFonts w:ascii="Times New Roman" w:cs="Times New Roman" w:eastAsia="Times New Roman" w:hAnsi="Times New Roman"/>
                <w:vertAlign w:val="baseline"/>
                <w:rtl w:val="0"/>
              </w:rPr>
              <w:t xml:space="preserve">, Ed. Polirom, Iaşi </w:t>
            </w:r>
          </w:p>
          <w:p w:rsidR="00000000" w:rsidDel="00000000" w:rsidP="00000000" w:rsidRDefault="00000000" w:rsidRPr="00000000" w14:paraId="00000150">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Schimmelfennig, Frank, and Ulrich Sedelmeier. 2004. “Governance by Conditionality: EU Rule Transfer to the Candidate Countries of Central and Eastern Europe.” </w:t>
            </w:r>
            <w:r w:rsidDel="00000000" w:rsidR="00000000" w:rsidRPr="00000000">
              <w:rPr>
                <w:rFonts w:ascii="Times New Roman" w:cs="Times New Roman" w:eastAsia="Times New Roman" w:hAnsi="Times New Roman"/>
                <w:i w:val="1"/>
                <w:iCs w:val="1"/>
                <w:vertAlign w:val="baseline"/>
                <w:rtl w:val="0"/>
              </w:rPr>
              <w:t xml:space="preserve">Journal of European Public Policy</w:t>
            </w:r>
            <w:r w:rsidDel="00000000" w:rsidR="00000000" w:rsidRPr="00000000">
              <w:rPr>
                <w:rFonts w:ascii="Times New Roman" w:cs="Times New Roman" w:eastAsia="Times New Roman" w:hAnsi="Times New Roman"/>
                <w:vertAlign w:val="baseline"/>
                <w:rtl w:val="0"/>
              </w:rPr>
              <w:t xml:space="preserve"> 11 (4), 661–79.</w:t>
            </w:r>
          </w:p>
          <w:p w:rsidR="00000000" w:rsidDel="00000000" w:rsidP="00000000" w:rsidRDefault="00000000" w:rsidRPr="00000000" w14:paraId="00000151">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HORIZON 2020 - </w:t>
            </w:r>
            <w:hyperlink r:id="rId8">
              <w:r w:rsidDel="00000000" w:rsidR="00000000" w:rsidRPr="00000000">
                <w:rPr>
                  <w:rFonts w:ascii="Times New Roman" w:cs="Times New Roman" w:eastAsia="Times New Roman" w:hAnsi="Times New Roman"/>
                  <w:color w:val="0563c1"/>
                  <w:u w:val="single"/>
                  <w:vertAlign w:val="baseline"/>
                  <w:rtl w:val="0"/>
                </w:rPr>
                <w:t xml:space="preserve">http://ec.europa.eu/programmes/horizon2020/</w:t>
              </w:r>
            </w:hyperlink>
            <w:r w:rsidDel="00000000" w:rsidR="00000000" w:rsidRPr="00000000">
              <w:rPr>
                <w:rFonts w:ascii="Times New Roman" w:cs="Times New Roman" w:eastAsia="Times New Roman" w:hAnsi="Times New Roman"/>
                <w:vertAlign w:val="baseline"/>
                <w:rtl w:val="0"/>
              </w:rPr>
              <w:t xml:space="preserve"> </w:t>
            </w:r>
          </w:p>
          <w:p w:rsidR="00000000" w:rsidDel="00000000" w:rsidP="00000000" w:rsidRDefault="00000000" w:rsidRPr="00000000" w14:paraId="00000152">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PNRR </w:t>
            </w:r>
            <w:hyperlink r:id="rId9">
              <w:r w:rsidDel="00000000" w:rsidR="00000000" w:rsidRPr="00000000">
                <w:rPr>
                  <w:rFonts w:ascii="Times New Roman" w:cs="Times New Roman" w:eastAsia="Times New Roman" w:hAnsi="Times New Roman"/>
                  <w:color w:val="0563c1"/>
                  <w:u w:val="single"/>
                  <w:vertAlign w:val="baseline"/>
                  <w:rtl w:val="0"/>
                </w:rPr>
                <w:t xml:space="preserve">https://mfe.gov.ro/pnrr/</w:t>
              </w:r>
            </w:hyperlink>
            <w:r w:rsidDel="00000000" w:rsidR="00000000" w:rsidRPr="00000000">
              <w:rPr>
                <w:rtl w:val="0"/>
              </w:rPr>
            </w:r>
          </w:p>
          <w:p w:rsidR="00000000" w:rsidDel="00000000" w:rsidP="00000000" w:rsidRDefault="00000000" w:rsidRPr="00000000" w14:paraId="00000153">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Cadrul Financiar Multianual 2021-2027 </w:t>
            </w:r>
            <w:hyperlink r:id="rId10">
              <w:r w:rsidDel="00000000" w:rsidR="00000000" w:rsidRPr="00000000">
                <w:rPr>
                  <w:rFonts w:ascii="Times New Roman" w:cs="Times New Roman" w:eastAsia="Times New Roman" w:hAnsi="Times New Roman"/>
                  <w:color w:val="0563c1"/>
                  <w:u w:val="single"/>
                  <w:vertAlign w:val="baseline"/>
                  <w:rtl w:val="0"/>
                </w:rPr>
                <w:t xml:space="preserve">https://mfe.gov.ro/minister/perioade-de-programare/perioada-2021-2027/</w:t>
              </w:r>
            </w:hyperlink>
            <w:r w:rsidDel="00000000" w:rsidR="00000000" w:rsidRPr="00000000">
              <w:rPr>
                <w:rtl w:val="0"/>
              </w:rPr>
            </w:r>
          </w:p>
          <w:p w:rsidR="00000000" w:rsidDel="00000000" w:rsidP="00000000" w:rsidRDefault="00000000" w:rsidRPr="00000000" w14:paraId="00000154">
            <w:pPr>
              <w:numPr>
                <w:ilvl w:val="0"/>
                <w:numId w:val="5"/>
              </w:numPr>
              <w:spacing w:after="0" w:line="240" w:lineRule="auto"/>
              <w:ind w:left="720" w:hanging="36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UE FISCDI - </w:t>
            </w:r>
            <w:hyperlink r:id="rId11">
              <w:r w:rsidDel="00000000" w:rsidR="00000000" w:rsidRPr="00000000">
                <w:rPr>
                  <w:rFonts w:ascii="Times New Roman" w:cs="Times New Roman" w:eastAsia="Times New Roman" w:hAnsi="Times New Roman"/>
                  <w:color w:val="0563c1"/>
                  <w:u w:val="single"/>
                  <w:vertAlign w:val="baseline"/>
                  <w:rtl w:val="0"/>
                </w:rPr>
                <w:t xml:space="preserve">http://uefiscdi.gov.ro/articole/1559/SCOP.html#</w:t>
              </w:r>
            </w:hyperlink>
            <w:r w:rsidDel="00000000" w:rsidR="00000000" w:rsidRPr="00000000">
              <w:rPr>
                <w:rtl w:val="0"/>
              </w:rPr>
            </w:r>
          </w:p>
        </w:tc>
      </w:tr>
    </w:tbl>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ŞEF CATEDRĂ,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DE DISCIPLINĂ,</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58">
      <w:pPr>
        <w:spacing w:line="360" w:lineRule="auto"/>
        <w:ind w:right="-567"/>
        <w:rPr>
          <w:rFonts w:ascii="Times New Roman" w:cs="Times New Roman" w:eastAsia="Times New Roman" w:hAnsi="Times New Roman"/>
          <w:vertAlign w:val="baseline"/>
        </w:rPr>
      </w:pPr>
      <w:bookmarkStart w:colFirst="0" w:colLast="0" w:name="_heading=h.kr8ewmr7o7ft" w:id="0"/>
      <w:bookmarkEnd w:id="0"/>
      <w:r w:rsidDel="00000000" w:rsidR="00000000" w:rsidRPr="00000000">
        <w:rPr>
          <w:rFonts w:ascii="Times New Roman" w:cs="Times New Roman" w:eastAsia="Times New Roman" w:hAnsi="Times New Roman"/>
          <w:rtl w:val="0"/>
        </w:rPr>
        <w:t xml:space="preserve">Lect. univ. dr. Claudiu Craciun</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rtl w:val="0"/>
        </w:rPr>
        <w:t xml:space="preserve">                                                        Conf. univ. dr. Arapd Todor</w:t>
      </w:r>
      <w:r w:rsidDel="00000000" w:rsidR="00000000" w:rsidRPr="00000000">
        <w:rPr>
          <w:rtl w:val="0"/>
        </w:rPr>
      </w:r>
    </w:p>
    <w:p w:rsidR="00000000" w:rsidDel="00000000" w:rsidP="00000000" w:rsidRDefault="00000000" w:rsidRPr="00000000" w14:paraId="00000159">
      <w:pPr>
        <w:spacing w:after="0" w:lineRule="auto"/>
        <w:jc w:val="both"/>
        <w:rPr>
          <w:rFonts w:ascii="Times New Roman" w:cs="Times New Roman" w:eastAsia="Times New Roman" w:hAnsi="Times New Roman"/>
          <w:sz w:val="24"/>
          <w:szCs w:val="24"/>
          <w:vertAlign w:val="baseline"/>
        </w:rPr>
      </w:pPr>
      <w:r w:rsidDel="00000000" w:rsidR="00000000" w:rsidRPr="00000000">
        <w:rPr>
          <w:rtl w:val="0"/>
        </w:rPr>
      </w:r>
    </w:p>
    <w:sectPr>
      <w:headerReference r:id="rId12"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 Se va completa conform planului de învățământ respectând următoarea regulă: 1 credit = 25 ore. Dacă (spre exemplu) disciplina are 5 credite, înseamnă că numărul total de ore este de 5 x 25=125. În planul de învățământ fiecare disciplină are un număr de ore de curs, seminar, laborator (după caz). Dacă disciplina are (exemplu) 2 ore de curs si 2 de seminar, înseamnă că vom avea 2 ore x 14 săptămâni = 28 ore de curs și 28 ore de seminar. Din totalul de 125 ore pe disciplină scădem deci 56 și obținem 69 de ore de studiu individual (SI). Le împărțim cum dorim între curs si seminar (să zicem SI curs 35 și SI seminar 34)</w:t>
      </w:r>
    </w:p>
  </w:footnote>
  <w:footnote w:id="1">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 Se va completa conform planului de învățământ (E=Examen, V=Verificare)</w:t>
      </w:r>
    </w:p>
  </w:footnote>
  <w:footnote w:id="2">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 Se va completa conform planului de învățământ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114300" distR="114300">
          <wp:extent cx="4144645" cy="469900"/>
          <wp:effectExtent b="0" l="0" r="0" t="0"/>
          <wp:docPr id="10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44645" cy="469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vertAlign w:val="baseline"/>
      </w:rPr>
    </w:lvl>
    <w:lvl w:ilvl="1">
      <w:start w:val="1"/>
      <w:numFmt w:val="lowerLetter"/>
      <w:lvlText w:val="%2."/>
      <w:lvlJc w:val="left"/>
      <w:pPr>
        <w:ind w:left="1120" w:hanging="360"/>
      </w:pPr>
      <w:rPr>
        <w:vertAlign w:val="baseline"/>
      </w:rPr>
    </w:lvl>
    <w:lvl w:ilvl="2">
      <w:start w:val="1"/>
      <w:numFmt w:val="lowerRoman"/>
      <w:lvlText w:val="%3."/>
      <w:lvlJc w:val="right"/>
      <w:pPr>
        <w:ind w:left="1840" w:hanging="180"/>
      </w:pPr>
      <w:rPr>
        <w:vertAlign w:val="baseline"/>
      </w:rPr>
    </w:lvl>
    <w:lvl w:ilvl="3">
      <w:start w:val="1"/>
      <w:numFmt w:val="decimal"/>
      <w:lvlText w:val="%4."/>
      <w:lvlJc w:val="left"/>
      <w:pPr>
        <w:ind w:left="2560" w:hanging="360"/>
      </w:pPr>
      <w:rPr>
        <w:vertAlign w:val="baseline"/>
      </w:rPr>
    </w:lvl>
    <w:lvl w:ilvl="4">
      <w:start w:val="1"/>
      <w:numFmt w:val="lowerLetter"/>
      <w:lvlText w:val="%5."/>
      <w:lvlJc w:val="left"/>
      <w:pPr>
        <w:ind w:left="3280" w:hanging="360"/>
      </w:pPr>
      <w:rPr>
        <w:vertAlign w:val="baseline"/>
      </w:rPr>
    </w:lvl>
    <w:lvl w:ilvl="5">
      <w:start w:val="1"/>
      <w:numFmt w:val="lowerRoman"/>
      <w:lvlText w:val="%6."/>
      <w:lvlJc w:val="right"/>
      <w:pPr>
        <w:ind w:left="4000" w:hanging="180"/>
      </w:pPr>
      <w:rPr>
        <w:vertAlign w:val="baseline"/>
      </w:rPr>
    </w:lvl>
    <w:lvl w:ilvl="6">
      <w:start w:val="1"/>
      <w:numFmt w:val="decimal"/>
      <w:lvlText w:val="%7."/>
      <w:lvlJc w:val="left"/>
      <w:pPr>
        <w:ind w:left="4720" w:hanging="360"/>
      </w:pPr>
      <w:rPr>
        <w:vertAlign w:val="baseline"/>
      </w:rPr>
    </w:lvl>
    <w:lvl w:ilvl="7">
      <w:start w:val="1"/>
      <w:numFmt w:val="lowerLetter"/>
      <w:lvlText w:val="%8."/>
      <w:lvlJc w:val="left"/>
      <w:pPr>
        <w:ind w:left="5440" w:hanging="360"/>
      </w:pPr>
      <w:rPr>
        <w:vertAlign w:val="baseline"/>
      </w:rPr>
    </w:lvl>
    <w:lvl w:ilvl="8">
      <w:start w:val="1"/>
      <w:numFmt w:val="lowerRoman"/>
      <w:lvlText w:val="%9."/>
      <w:lvlJc w:val="right"/>
      <w:pPr>
        <w:ind w:left="6160" w:hanging="180"/>
      </w:pPr>
      <w:rPr>
        <w:vertAlign w:val="baseline"/>
      </w:rPr>
    </w:lvl>
  </w:abstractNum>
  <w:abstractNum w:abstractNumId="2">
    <w:lvl w:ilvl="0">
      <w:start w:val="1"/>
      <w:numFmt w:val="decimal"/>
      <w:lvlText w:val="%1."/>
      <w:lvlJc w:val="left"/>
      <w:pPr>
        <w:ind w:left="720" w:hanging="360"/>
      </w:pPr>
      <w:rPr>
        <w:b w:val="1"/>
        <w:bCs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5"/>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Titlu1">
    <w:name w:val="Titlu 1"/>
    <w:basedOn w:val="Normal"/>
    <w:next w:val="Normal"/>
    <w:autoRedefine w:val="0"/>
    <w:hidden w:val="0"/>
    <w:qFormat w:val="0"/>
    <w:pPr>
      <w:keepNext w:val="1"/>
      <w:widowControl w:val="0"/>
      <w:suppressAutoHyphens w:val="1"/>
      <w:autoSpaceDE w:val="0"/>
      <w:autoSpaceDN w:val="0"/>
      <w:adjustRightInd w:val="0"/>
      <w:spacing w:after="0" w:line="240" w:lineRule="auto"/>
      <w:ind w:right="52"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character" w:styleId="Fontdeparagrafimplicit">
    <w:name w:val="Font de paragraf implicit"/>
    <w:next w:val="Fontdeparagrafimplicit"/>
    <w:autoRedefine w:val="0"/>
    <w:hidden w:val="0"/>
    <w:qFormat w:val="1"/>
    <w:rPr>
      <w:w w:val="100"/>
      <w:position w:val="-1"/>
      <w:effect w:val="none"/>
      <w:vertAlign w:val="baseline"/>
      <w:cs w:val="0"/>
      <w:em w:val="none"/>
      <w:lang/>
    </w:rPr>
  </w:style>
  <w:style w:type="table" w:styleId="TabelNormal">
    <w:name w:val="Tabel Normal"/>
    <w:next w:val="Tabel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FărăListare">
    <w:name w:val="Fără Listare"/>
    <w:next w:val="FărăListare"/>
    <w:autoRedefine w:val="0"/>
    <w:hidden w:val="0"/>
    <w:qFormat w:val="1"/>
    <w:pPr>
      <w:suppressAutoHyphens w:val="1"/>
      <w:spacing w:line="1" w:lineRule="atLeast"/>
      <w:ind w:leftChars="-1" w:rightChars="0" w:firstLineChars="-1"/>
      <w:textDirection w:val="btLr"/>
      <w:textAlignment w:val="top"/>
      <w:outlineLvl w:val="0"/>
    </w:pPr>
  </w:style>
  <w:style w:type="paragraph" w:styleId="ListParagraph1">
    <w:name w:val="List Paragraph1"/>
    <w:basedOn w:val="Normal"/>
    <w:next w:val="ListParagraph1"/>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ro-RO"/>
    </w:rPr>
  </w:style>
  <w:style w:type="character" w:styleId="Titlu1Caracter">
    <w:name w:val="Titlu 1 Caracter"/>
    <w:next w:val="Titlu1Caracter"/>
    <w:autoRedefine w:val="0"/>
    <w:hidden w:val="0"/>
    <w:qFormat w:val="0"/>
    <w:rPr>
      <w:rFonts w:ascii="Times New Roman" w:hAnsi="Times New Roman"/>
      <w:w w:val="100"/>
      <w:position w:val="-1"/>
      <w:sz w:val="24"/>
      <w:szCs w:val="24"/>
      <w:effect w:val="none"/>
      <w:vertAlign w:val="baseline"/>
      <w:cs w:val="0"/>
      <w:em w:val="none"/>
      <w:lang w:eastAsia="en-US" w:val="en-US"/>
    </w:rPr>
  </w:style>
  <w:style w:type="paragraph" w:styleId="Corptext2">
    <w:name w:val="Corp text 2"/>
    <w:basedOn w:val="Normal"/>
    <w:next w:val="Corptext2"/>
    <w:autoRedefine w:val="0"/>
    <w:hidden w:val="0"/>
    <w:qFormat w:val="0"/>
    <w:pPr>
      <w:widowControl w:val="0"/>
      <w:suppressAutoHyphens w:val="1"/>
      <w:autoSpaceDE w:val="0"/>
      <w:autoSpaceDN w:val="0"/>
      <w:adjustRightInd w:val="0"/>
      <w:spacing w:after="120" w:line="480" w:lineRule="auto"/>
      <w:ind w:leftChars="-1" w:rightChars="0" w:firstLineChars="-1"/>
      <w:textDirection w:val="btLr"/>
      <w:textAlignment w:val="top"/>
      <w:outlineLvl w:val="0"/>
    </w:pPr>
    <w:rPr>
      <w:rFonts w:ascii="Times New Roman" w:hAnsi="Times New Roman"/>
      <w:w w:val="100"/>
      <w:position w:val="-1"/>
      <w:sz w:val="20"/>
      <w:szCs w:val="24"/>
      <w:effect w:val="none"/>
      <w:vertAlign w:val="baseline"/>
      <w:cs w:val="0"/>
      <w:em w:val="none"/>
      <w:lang w:bidi="ar-SA" w:eastAsia="en-US" w:val="en-US"/>
    </w:rPr>
  </w:style>
  <w:style w:type="character" w:styleId="Corptext2Caracter">
    <w:name w:val="Corp text 2 Caracter"/>
    <w:next w:val="Corptext2Caracter"/>
    <w:autoRedefine w:val="0"/>
    <w:hidden w:val="0"/>
    <w:qFormat w:val="0"/>
    <w:rPr>
      <w:rFonts w:ascii="Times New Roman" w:hAnsi="Times New Roman"/>
      <w:w w:val="100"/>
      <w:position w:val="-1"/>
      <w:szCs w:val="24"/>
      <w:effect w:val="none"/>
      <w:vertAlign w:val="baseline"/>
      <w:cs w:val="0"/>
      <w:em w:val="none"/>
      <w:lang w:eastAsia="en-US" w:val="en-US"/>
    </w:rPr>
  </w:style>
  <w:style w:type="paragraph" w:styleId="Default">
    <w:name w:val="Default"/>
    <w:next w:val="Default"/>
    <w:autoRedefine w:val="0"/>
    <w:hidden w:val="0"/>
    <w:qFormat w:val="0"/>
    <w:pPr>
      <w:widowControl w:val="0"/>
      <w:suppressAutoHyphens w:val="1"/>
      <w:autoSpaceDE w:val="0"/>
      <w:autoSpaceDN w:val="0"/>
      <w:adjustRightInd w:val="0"/>
      <w:spacing w:line="1" w:lineRule="atLeast"/>
      <w:ind w:leftChars="-1" w:rightChars="0" w:firstLineChars="-1"/>
      <w:textDirection w:val="btLr"/>
      <w:textAlignment w:val="top"/>
      <w:outlineLvl w:val="0"/>
    </w:pPr>
    <w:rPr>
      <w:rFonts w:ascii="Times New Roman" w:hAnsi="Times New Roman"/>
      <w:color w:val="000000"/>
      <w:w w:val="100"/>
      <w:position w:val="-1"/>
      <w:sz w:val="24"/>
      <w:szCs w:val="24"/>
      <w:effect w:val="none"/>
      <w:vertAlign w:val="baseline"/>
      <w:cs w:val="0"/>
      <w:em w:val="none"/>
      <w:lang w:bidi="ar-SA" w:eastAsia="en-US" w:val="en-US"/>
    </w:rPr>
  </w:style>
  <w:style w:type="paragraph" w:styleId="Standaard">
    <w:name w:val="Standaard"/>
    <w:basedOn w:val="Normal"/>
    <w:next w:val="Normal"/>
    <w:autoRedefine w:val="0"/>
    <w:hidden w:val="0"/>
    <w:qFormat w:val="0"/>
    <w:pPr>
      <w:suppressAutoHyphens w:val="1"/>
      <w:autoSpaceDE w:val="0"/>
      <w:autoSpaceDN w:val="0"/>
      <w:adjustRightInd w:val="0"/>
      <w:spacing w:after="0" w:line="240" w:lineRule="auto"/>
      <w:ind w:leftChars="-1" w:rightChars="0" w:firstLineChars="-1"/>
      <w:textDirection w:val="btLr"/>
      <w:textAlignment w:val="top"/>
      <w:outlineLvl w:val="0"/>
    </w:pPr>
    <w:rPr>
      <w:rFonts w:ascii="DKBAHE+TimesNewRoman,Bold" w:hAnsi="DKBAHE+TimesNewRoman,Bold"/>
      <w:w w:val="100"/>
      <w:position w:val="-1"/>
      <w:sz w:val="24"/>
      <w:szCs w:val="24"/>
      <w:effect w:val="none"/>
      <w:vertAlign w:val="baseline"/>
      <w:cs w:val="0"/>
      <w:em w:val="none"/>
      <w:lang w:bidi="ar-SA" w:eastAsia="en-US" w:val="en-US"/>
    </w:rPr>
  </w:style>
  <w:style w:type="paragraph" w:styleId="Antet">
    <w:name w:val="Antet"/>
    <w:basedOn w:val="Normal"/>
    <w:next w:val="Antet"/>
    <w:autoRedefine w:val="0"/>
    <w:hidden w:val="0"/>
    <w:qFormat w:val="1"/>
    <w:pPr>
      <w:tabs>
        <w:tab w:val="center" w:leader="none" w:pos="4320"/>
        <w:tab w:val="right" w:leader="none" w:pos="864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o-RO" w:val="ro-RO"/>
    </w:rPr>
  </w:style>
  <w:style w:type="character" w:styleId="AntetCaracter">
    <w:name w:val="Antet Caracter"/>
    <w:next w:val="AntetCaracter"/>
    <w:autoRedefine w:val="0"/>
    <w:hidden w:val="0"/>
    <w:qFormat w:val="0"/>
    <w:rPr>
      <w:w w:val="100"/>
      <w:position w:val="-1"/>
      <w:sz w:val="22"/>
      <w:szCs w:val="22"/>
      <w:effect w:val="none"/>
      <w:vertAlign w:val="baseline"/>
      <w:cs w:val="0"/>
      <w:em w:val="none"/>
      <w:lang w:eastAsia="ro-RO" w:val="ro-RO"/>
    </w:rPr>
  </w:style>
  <w:style w:type="paragraph" w:styleId="Subsol">
    <w:name w:val="Subsol"/>
    <w:basedOn w:val="Normal"/>
    <w:next w:val="Subsol"/>
    <w:autoRedefine w:val="0"/>
    <w:hidden w:val="0"/>
    <w:qFormat w:val="1"/>
    <w:pPr>
      <w:tabs>
        <w:tab w:val="center" w:leader="none" w:pos="4320"/>
        <w:tab w:val="right" w:leader="none" w:pos="8640"/>
      </w:tabs>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ro-RO" w:val="ro-RO"/>
    </w:rPr>
  </w:style>
  <w:style w:type="character" w:styleId="SubsolCaracter">
    <w:name w:val="Subsol Caracter"/>
    <w:next w:val="SubsolCaracter"/>
    <w:autoRedefine w:val="0"/>
    <w:hidden w:val="0"/>
    <w:qFormat w:val="0"/>
    <w:rPr>
      <w:w w:val="100"/>
      <w:position w:val="-1"/>
      <w:sz w:val="22"/>
      <w:szCs w:val="22"/>
      <w:effect w:val="none"/>
      <w:vertAlign w:val="baseline"/>
      <w:cs w:val="0"/>
      <w:em w:val="none"/>
      <w:lang w:eastAsia="ro-RO" w:val="ro-RO"/>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Referințăcomentariu">
    <w:name w:val="Referință comentariu"/>
    <w:next w:val="Referințăcomentariu"/>
    <w:autoRedefine w:val="0"/>
    <w:hidden w:val="0"/>
    <w:qFormat w:val="1"/>
    <w:rPr>
      <w:w w:val="100"/>
      <w:position w:val="-1"/>
      <w:sz w:val="16"/>
      <w:szCs w:val="16"/>
      <w:effect w:val="none"/>
      <w:vertAlign w:val="baseline"/>
      <w:cs w:val="0"/>
      <w:em w:val="none"/>
      <w:lang/>
    </w:rPr>
  </w:style>
  <w:style w:type="paragraph" w:styleId="Textcomentariu">
    <w:name w:val="Text comentariu"/>
    <w:basedOn w:val="Normal"/>
    <w:next w:val="Textcomentariu"/>
    <w:autoRedefine w:val="0"/>
    <w:hidden w:val="0"/>
    <w:qFormat w:val="1"/>
    <w:pPr>
      <w:suppressAutoHyphens w:val="1"/>
      <w:spacing w:after="200" w:line="276" w:lineRule="auto"/>
      <w:ind w:leftChars="-1" w:rightChars="0" w:firstLineChars="-1"/>
      <w:textDirection w:val="btLr"/>
      <w:textAlignment w:val="top"/>
      <w:outlineLvl w:val="0"/>
    </w:pPr>
    <w:rPr>
      <w:w w:val="100"/>
      <w:position w:val="-1"/>
      <w:sz w:val="20"/>
      <w:szCs w:val="20"/>
      <w:effect w:val="none"/>
      <w:vertAlign w:val="baseline"/>
      <w:cs w:val="0"/>
      <w:em w:val="none"/>
      <w:lang w:bidi="ar-SA" w:eastAsia="ro-RO" w:val="ro-RO"/>
    </w:rPr>
  </w:style>
  <w:style w:type="character" w:styleId="TextcomentariuCaracter">
    <w:name w:val="Text comentariu Caracter"/>
    <w:basedOn w:val="Fontdeparagrafimplicit"/>
    <w:next w:val="TextcomentariuCaracter"/>
    <w:autoRedefine w:val="0"/>
    <w:hidden w:val="0"/>
    <w:qFormat w:val="0"/>
    <w:rPr>
      <w:w w:val="100"/>
      <w:position w:val="-1"/>
      <w:effect w:val="none"/>
      <w:vertAlign w:val="baseline"/>
      <w:cs w:val="0"/>
      <w:em w:val="none"/>
      <w:lang/>
    </w:rPr>
  </w:style>
  <w:style w:type="paragraph" w:styleId="SubiectComentariu">
    <w:name w:val="Subiect Comentariu"/>
    <w:basedOn w:val="Textcomentariu"/>
    <w:next w:val="Textcomentariu"/>
    <w:autoRedefine w:val="0"/>
    <w:hidden w:val="0"/>
    <w:qFormat w:val="1"/>
    <w:pPr>
      <w:suppressAutoHyphens w:val="1"/>
      <w:spacing w:after="200" w:line="276" w:lineRule="auto"/>
      <w:ind w:leftChars="-1" w:rightChars="0" w:firstLineChars="-1"/>
      <w:textDirection w:val="btLr"/>
      <w:textAlignment w:val="top"/>
      <w:outlineLvl w:val="0"/>
    </w:pPr>
    <w:rPr>
      <w:b w:val="1"/>
      <w:bCs w:val="1"/>
      <w:w w:val="100"/>
      <w:position w:val="-1"/>
      <w:sz w:val="20"/>
      <w:szCs w:val="20"/>
      <w:effect w:val="none"/>
      <w:vertAlign w:val="baseline"/>
      <w:cs w:val="0"/>
      <w:em w:val="none"/>
      <w:lang w:bidi="ar-SA" w:eastAsia="und" w:val="und"/>
    </w:rPr>
  </w:style>
  <w:style w:type="character" w:styleId="SubiectComentariuCaracter">
    <w:name w:val="Subiect Comentariu Caracter"/>
    <w:next w:val="SubiectComentariuCaracter"/>
    <w:autoRedefine w:val="0"/>
    <w:hidden w:val="0"/>
    <w:qFormat w:val="0"/>
    <w:rPr>
      <w:b w:val="1"/>
      <w:bCs w:val="1"/>
      <w:w w:val="100"/>
      <w:position w:val="-1"/>
      <w:effect w:val="none"/>
      <w:vertAlign w:val="baseline"/>
      <w:cs w:val="0"/>
      <w:em w:val="none"/>
      <w:lang/>
    </w:rPr>
  </w:style>
  <w:style w:type="paragraph" w:styleId="TextînBalon">
    <w:name w:val="Text în Balon"/>
    <w:basedOn w:val="Normal"/>
    <w:next w:val="TextînBalon"/>
    <w:autoRedefine w:val="0"/>
    <w:hidden w:val="0"/>
    <w:qFormat w:val="1"/>
    <w:pPr>
      <w:suppressAutoHyphens w:val="1"/>
      <w:spacing w:after="0" w:line="240" w:lineRule="auto"/>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TextînBalonCaracter">
    <w:name w:val="Text în Balon Caracter"/>
    <w:next w:val="TextînBalonCaracter"/>
    <w:autoRedefine w:val="0"/>
    <w:hidden w:val="0"/>
    <w:qFormat w:val="0"/>
    <w:rPr>
      <w:rFonts w:ascii="Tahoma" w:cs="Tahoma" w:hAnsi="Tahoma"/>
      <w:w w:val="100"/>
      <w:position w:val="-1"/>
      <w:sz w:val="16"/>
      <w:szCs w:val="16"/>
      <w:effect w:val="none"/>
      <w:vertAlign w:val="baseline"/>
      <w:cs w:val="0"/>
      <w:em w:val="none"/>
      <w:lang/>
    </w:rPr>
  </w:style>
  <w:style w:type="character" w:styleId="Hyperlink">
    <w:name w:val="Hyperlink"/>
    <w:next w:val="Hyperlink"/>
    <w:autoRedefine w:val="0"/>
    <w:hidden w:val="0"/>
    <w:qFormat w:val="1"/>
    <w:rPr>
      <w:color w:val="0563c1"/>
      <w:w w:val="100"/>
      <w:position w:val="-1"/>
      <w:u w:val="single"/>
      <w:effect w:val="none"/>
      <w:vertAlign w:val="baseline"/>
      <w:cs w:val="0"/>
      <w:em w:val="none"/>
      <w:lang/>
    </w:rPr>
  </w:style>
  <w:style w:type="table" w:styleId="Tabelgrilă">
    <w:name w:val="Tabel grilă"/>
    <w:basedOn w:val="TabelNormal"/>
    <w:next w:val="Tabelgrilă"/>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grilă"/>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notădesubsol">
    <w:name w:val="Text notă de subsol"/>
    <w:basedOn w:val="Normal"/>
    <w:next w:val="Textnotădesubsol"/>
    <w:autoRedefine w:val="0"/>
    <w:hidden w:val="0"/>
    <w:qFormat w:val="1"/>
    <w:pPr>
      <w:suppressAutoHyphens w:val="1"/>
      <w:spacing w:after="0" w:line="240" w:lineRule="auto"/>
      <w:ind w:leftChars="-1" w:rightChars="0" w:firstLineChars="-1"/>
      <w:textDirection w:val="btLr"/>
      <w:textAlignment w:val="top"/>
      <w:outlineLvl w:val="0"/>
    </w:pPr>
    <w:rPr>
      <w:w w:val="100"/>
      <w:position w:val="-1"/>
      <w:sz w:val="20"/>
      <w:szCs w:val="20"/>
      <w:effect w:val="none"/>
      <w:vertAlign w:val="baseline"/>
      <w:cs w:val="0"/>
      <w:em w:val="none"/>
      <w:lang w:bidi="ar-SA" w:eastAsia="en-US" w:val="ro-RO"/>
    </w:rPr>
  </w:style>
  <w:style w:type="character" w:styleId="TextnotădesubsolCaracter">
    <w:name w:val="Text notă de subsol Caracter"/>
    <w:next w:val="TextnotădesubsolCaracter"/>
    <w:autoRedefine w:val="0"/>
    <w:hidden w:val="0"/>
    <w:qFormat w:val="0"/>
    <w:rPr>
      <w:w w:val="100"/>
      <w:position w:val="-1"/>
      <w:effect w:val="none"/>
      <w:vertAlign w:val="baseline"/>
      <w:cs w:val="0"/>
      <w:em w:val="none"/>
      <w:lang w:eastAsia="en-US"/>
    </w:rPr>
  </w:style>
  <w:style w:type="character" w:styleId="Referințănotădesubsol">
    <w:name w:val="Referință notă de subsol"/>
    <w:next w:val="Referințănotădesubsol"/>
    <w:autoRedefine w:val="0"/>
    <w:hidden w:val="0"/>
    <w:qFormat w:val="1"/>
    <w:rPr>
      <w:w w:val="100"/>
      <w:position w:val="-1"/>
      <w:effect w:val="none"/>
      <w:vertAlign w:val="superscript"/>
      <w:cs w:val="0"/>
      <w:em w:val="none"/>
      <w:lang/>
    </w:rPr>
  </w:style>
  <w:style w:type="character" w:styleId="MențiuneNerezolvat">
    <w:name w:val="Mențiune Nerezolvat"/>
    <w:next w:val="MențiuneNerezolvat"/>
    <w:autoRedefine w:val="0"/>
    <w:hidden w:val="0"/>
    <w:qFormat w:val="1"/>
    <w:rPr>
      <w:color w:val="605e5c"/>
      <w:w w:val="100"/>
      <w:position w:val="-1"/>
      <w:effect w:val="none"/>
      <w:shd w:color="auto" w:fill="e1dfdd"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uefiscdi.gov.ro/articole/1559/SCOP.html#" TargetMode="External"/><Relationship Id="rId10" Type="http://schemas.openxmlformats.org/officeDocument/2006/relationships/hyperlink" Target="https://mfe.gov.ro/minister/perioade-de-programare/perioada-2021-2027/" TargetMode="External"/><Relationship Id="rId12" Type="http://schemas.openxmlformats.org/officeDocument/2006/relationships/header" Target="header1.xml"/><Relationship Id="rId9" Type="http://schemas.openxmlformats.org/officeDocument/2006/relationships/hyperlink" Target="https://mfe.gov.ro/pnrr/"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ec.europa.eu/programmes/horizon202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p9LCpTnMDAXpNbQpa9OQ8wzJqA==">CgMxLjAaHwoBMBIaChgICVIUChJ0YWJsZS4yMnZqbnZpOWN6Y3gaHwoBMRIaChgICVIUChJ0YWJsZS5zdjVpa2cycHc3dTUyDmgua3I4ZXdtcjdvN2Z0OAByITFXMHNSbTdtOHlyWWRXM0d4bFBqUGgyejB6dUlLRGVwdQ==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2016-06-13T10:42:00Z</dcterms:created>
  <dc:creator>Fujitsu</dc:creator>
</cp:coreProperties>
</file>

<file path=docProps/custom.xml><?xml version="1.0" encoding="utf-8"?>
<Properties xmlns="http://schemas.openxmlformats.org/officeDocument/2006/custom-properties" xmlns:vt="http://schemas.openxmlformats.org/officeDocument/2006/docPropsVTypes"/>
</file>